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EA0D6">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2B78735">
      <w:pPr>
        <w:pStyle w:val="15"/>
        <w:jc w:val="center"/>
        <w:rPr>
          <w:rFonts w:ascii="Times New Roman" w:hAnsi="Times New Roman" w:cs="Times New Roman"/>
          <w:sz w:val="56"/>
          <w:szCs w:val="56"/>
        </w:rPr>
      </w:pPr>
    </w:p>
    <w:p w14:paraId="46877232">
      <w:pPr>
        <w:pStyle w:val="15"/>
        <w:jc w:val="center"/>
        <w:rPr>
          <w:rFonts w:ascii="Times New Roman" w:hAnsi="Times New Roman" w:cs="Times New Roman"/>
          <w:sz w:val="84"/>
          <w:szCs w:val="84"/>
        </w:rPr>
      </w:pPr>
    </w:p>
    <w:p w14:paraId="5B56DC23">
      <w:pPr>
        <w:pStyle w:val="15"/>
        <w:jc w:val="center"/>
        <w:rPr>
          <w:rFonts w:ascii="Times New Roman" w:hAnsi="Times New Roman" w:cs="Times New Roman"/>
          <w:sz w:val="84"/>
          <w:szCs w:val="84"/>
        </w:rPr>
      </w:pPr>
    </w:p>
    <w:p w14:paraId="38CCBB0E">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9537D10">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中国共产党湖南历史展览馆单位</w:t>
      </w:r>
      <w:r>
        <w:rPr>
          <w:rFonts w:ascii="Times New Roman" w:hAnsi="Times New Roman" w:eastAsia="方正小标宋简体" w:cs="Times New Roman"/>
          <w:sz w:val="72"/>
          <w:szCs w:val="72"/>
        </w:rPr>
        <w:t>决算</w:t>
      </w:r>
    </w:p>
    <w:p w14:paraId="03A94207">
      <w:pPr>
        <w:pStyle w:val="15"/>
        <w:jc w:val="center"/>
        <w:rPr>
          <w:rFonts w:ascii="Times New Roman" w:hAnsi="Times New Roman" w:eastAsia="方正小标宋_GBK" w:cs="Times New Roman"/>
          <w:sz w:val="56"/>
          <w:szCs w:val="56"/>
        </w:rPr>
      </w:pPr>
    </w:p>
    <w:p w14:paraId="5A17C2BC">
      <w:pPr>
        <w:pStyle w:val="15"/>
        <w:jc w:val="center"/>
        <w:rPr>
          <w:rFonts w:ascii="Times New Roman" w:hAnsi="Times New Roman" w:cs="Times New Roman"/>
          <w:sz w:val="56"/>
          <w:szCs w:val="56"/>
        </w:rPr>
      </w:pPr>
    </w:p>
    <w:p w14:paraId="4FD05412">
      <w:pPr>
        <w:pStyle w:val="15"/>
        <w:rPr>
          <w:rFonts w:ascii="Times New Roman" w:hAnsi="Times New Roman" w:cs="Times New Roman"/>
          <w:sz w:val="56"/>
          <w:szCs w:val="56"/>
        </w:rPr>
      </w:pPr>
    </w:p>
    <w:p w14:paraId="0EADBDF0">
      <w:pPr>
        <w:pStyle w:val="15"/>
        <w:jc w:val="center"/>
        <w:rPr>
          <w:rFonts w:ascii="Times New Roman" w:hAnsi="Times New Roman" w:cs="Times New Roman"/>
          <w:sz w:val="32"/>
          <w:szCs w:val="32"/>
        </w:rPr>
      </w:pPr>
    </w:p>
    <w:p w14:paraId="713FA551">
      <w:pPr>
        <w:pStyle w:val="15"/>
        <w:jc w:val="center"/>
        <w:rPr>
          <w:rFonts w:ascii="Times New Roman" w:hAnsi="Times New Roman" w:cs="Times New Roman"/>
          <w:sz w:val="32"/>
          <w:szCs w:val="32"/>
        </w:rPr>
      </w:pPr>
    </w:p>
    <w:p w14:paraId="576B780D">
      <w:pPr>
        <w:pStyle w:val="15"/>
        <w:jc w:val="center"/>
        <w:rPr>
          <w:rFonts w:ascii="Times New Roman" w:hAnsi="Times New Roman" w:cs="Times New Roman"/>
          <w:sz w:val="32"/>
          <w:szCs w:val="32"/>
        </w:rPr>
      </w:pPr>
    </w:p>
    <w:p w14:paraId="532BF3A2">
      <w:pPr>
        <w:pStyle w:val="15"/>
        <w:jc w:val="center"/>
        <w:rPr>
          <w:rFonts w:ascii="Times New Roman" w:hAnsi="Times New Roman" w:cs="Times New Roman"/>
          <w:sz w:val="32"/>
          <w:szCs w:val="32"/>
        </w:rPr>
      </w:pPr>
    </w:p>
    <w:p w14:paraId="6E224B59">
      <w:pPr>
        <w:pStyle w:val="15"/>
        <w:jc w:val="center"/>
        <w:rPr>
          <w:rFonts w:ascii="Times New Roman" w:hAnsi="Times New Roman" w:cs="Times New Roman"/>
          <w:sz w:val="32"/>
          <w:szCs w:val="32"/>
        </w:rPr>
      </w:pPr>
    </w:p>
    <w:p w14:paraId="029C8C19">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89A0CB9">
      <w:pPr>
        <w:pStyle w:val="15"/>
        <w:spacing w:line="600" w:lineRule="exact"/>
        <w:jc w:val="both"/>
        <w:rPr>
          <w:rFonts w:ascii="Times New Roman" w:hAnsi="Times New Roman" w:cs="Times New Roman"/>
          <w:b/>
          <w:sz w:val="36"/>
          <w:szCs w:val="28"/>
        </w:rPr>
      </w:pPr>
    </w:p>
    <w:p w14:paraId="409FEC13">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BBDE2E1">
      <w:pPr>
        <w:pStyle w:val="15"/>
        <w:spacing w:line="600" w:lineRule="exact"/>
        <w:jc w:val="center"/>
        <w:rPr>
          <w:rFonts w:ascii="Times New Roman" w:hAnsi="Times New Roman" w:cs="Times New Roman"/>
          <w:b/>
          <w:sz w:val="36"/>
          <w:szCs w:val="28"/>
        </w:rPr>
      </w:pPr>
    </w:p>
    <w:p w14:paraId="786064C1">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中国共产党湖南历史展览馆</w:t>
      </w:r>
      <w:r>
        <w:rPr>
          <w:rFonts w:ascii="Times New Roman" w:hAnsi="Times New Roman" w:cs="Times New Roman"/>
          <w:bCs/>
          <w:sz w:val="32"/>
          <w:szCs w:val="32"/>
        </w:rPr>
        <w:t>概况</w:t>
      </w:r>
    </w:p>
    <w:p w14:paraId="7816441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E5EDBA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592A08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4849AE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6BFCC5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57940B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6546FF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7CC850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7D6AA6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CC7F85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E0300B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48DD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EDF5D88">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786EF9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32A8C1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BFDC9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B78D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040DC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4613D0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FDB2E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BE53F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47D1A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0C9B5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30BCD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0B88E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EF5C9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D7DD0C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055D94F">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AA5761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0C004F5">
      <w:pPr>
        <w:pStyle w:val="15"/>
        <w:spacing w:line="600" w:lineRule="exact"/>
        <w:rPr>
          <w:rFonts w:ascii="Times New Roman" w:hAnsi="Times New Roman" w:cs="Times New Roman"/>
          <w:bCs/>
          <w:sz w:val="28"/>
          <w:szCs w:val="28"/>
        </w:rPr>
      </w:pPr>
    </w:p>
    <w:p w14:paraId="5966E5B6">
      <w:pPr>
        <w:jc w:val="center"/>
        <w:rPr>
          <w:rFonts w:ascii="Times New Roman" w:hAnsi="Times New Roman" w:cs="Times New Roman"/>
          <w:sz w:val="72"/>
          <w:szCs w:val="72"/>
        </w:rPr>
      </w:pPr>
    </w:p>
    <w:p w14:paraId="4872E2FC">
      <w:pPr>
        <w:jc w:val="center"/>
        <w:rPr>
          <w:rFonts w:ascii="Times New Roman" w:hAnsi="Times New Roman" w:cs="Times New Roman"/>
          <w:sz w:val="72"/>
          <w:szCs w:val="72"/>
        </w:rPr>
      </w:pPr>
    </w:p>
    <w:p w14:paraId="26D2B3D0">
      <w:pPr>
        <w:jc w:val="center"/>
        <w:rPr>
          <w:rFonts w:ascii="Times New Roman" w:hAnsi="Times New Roman" w:cs="Times New Roman"/>
          <w:sz w:val="72"/>
          <w:szCs w:val="72"/>
        </w:rPr>
      </w:pPr>
    </w:p>
    <w:p w14:paraId="2DEBFBE8">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7F11E41">
      <w:pPr>
        <w:rPr>
          <w:rFonts w:ascii="Times New Roman" w:hAnsi="Times New Roman" w:eastAsia="方正小标宋_GBK" w:cs="Times New Roman"/>
          <w:sz w:val="72"/>
          <w:szCs w:val="72"/>
        </w:rPr>
      </w:pPr>
    </w:p>
    <w:p w14:paraId="21CC27D0">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A9E885D">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中国共产党湖南历史展览馆单位</w:t>
      </w:r>
      <w:r>
        <w:rPr>
          <w:rFonts w:ascii="Times New Roman" w:hAnsi="Times New Roman" w:eastAsia="方正小标宋_GBK" w:cs="Times New Roman"/>
          <w:sz w:val="52"/>
          <w:szCs w:val="52"/>
        </w:rPr>
        <w:t>概况</w:t>
      </w:r>
    </w:p>
    <w:p w14:paraId="16E17AF8">
      <w:pPr>
        <w:pStyle w:val="5"/>
        <w:ind w:left="0" w:leftChars="0" w:firstLine="0" w:firstLineChars="0"/>
        <w:rPr>
          <w:rFonts w:ascii="Times New Roman" w:hAnsi="Times New Roman" w:cs="Times New Roman"/>
        </w:rPr>
      </w:pPr>
    </w:p>
    <w:p w14:paraId="793DD41B">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7EC959C">
      <w:pPr>
        <w:spacing w:line="600" w:lineRule="exact"/>
        <w:ind w:firstLine="640" w:firstLineChars="200"/>
        <w:rPr>
          <w:rFonts w:ascii="方正仿宋_GBK" w:hAnsi="Calibri" w:eastAsia="方正仿宋_GBK" w:cs="Times New Roman"/>
          <w:sz w:val="32"/>
          <w:szCs w:val="32"/>
        </w:rPr>
      </w:pPr>
      <w:r>
        <w:rPr>
          <w:rFonts w:ascii="Times New Roman" w:hAnsi="Times New Roman" w:eastAsia="仿宋_GB2312" w:cs="Times New Roman"/>
          <w:sz w:val="32"/>
          <w:szCs w:val="32"/>
        </w:rPr>
        <w:t>（一）</w:t>
      </w:r>
      <w:r>
        <w:rPr>
          <w:rFonts w:hint="eastAsia" w:ascii="Calibri" w:hAnsi="Calibri" w:eastAsia="方正楷体_GBK" w:cs="Times New Roman"/>
          <w:sz w:val="32"/>
          <w:szCs w:val="32"/>
        </w:rPr>
        <w:t>主要职能。</w:t>
      </w:r>
      <w:r>
        <w:rPr>
          <w:rFonts w:hint="eastAsia" w:ascii="方正仿宋_GBK" w:hAnsi="Calibri" w:eastAsia="方正仿宋_GBK" w:cs="Times New Roman"/>
          <w:sz w:val="32"/>
          <w:szCs w:val="32"/>
        </w:rPr>
        <w:t>中国共产党湖南历史展览馆是</w:t>
      </w:r>
      <w:r>
        <w:rPr>
          <w:rFonts w:ascii="方正仿宋_GBK" w:hAnsi="Calibri" w:eastAsia="方正仿宋_GBK" w:cs="Times New Roman"/>
          <w:sz w:val="32"/>
          <w:szCs w:val="32"/>
        </w:rPr>
        <w:t>中共湖南省委党史研究</w:t>
      </w:r>
      <w:r>
        <w:rPr>
          <w:rFonts w:hint="eastAsia" w:ascii="方正仿宋_GBK" w:hAnsi="Calibri" w:eastAsia="方正仿宋_GBK" w:cs="Times New Roman"/>
          <w:sz w:val="32"/>
          <w:szCs w:val="32"/>
        </w:rPr>
        <w:t>院</w:t>
      </w:r>
      <w:r>
        <w:rPr>
          <w:rFonts w:ascii="方正仿宋_GBK" w:hAnsi="Calibri" w:eastAsia="方正仿宋_GBK" w:cs="Times New Roman"/>
          <w:sz w:val="32"/>
          <w:szCs w:val="32"/>
        </w:rPr>
        <w:t>直属正处级事业单位，主要承担党史文物征集、收藏与保护、党史文物科学研究、党史文物陈列和展览、党史宣传和教育工作等基本职能，</w:t>
      </w:r>
      <w:r>
        <w:rPr>
          <w:rFonts w:hint="eastAsia" w:ascii="Times New Roman" w:hAnsi="Times New Roman" w:eastAsia="方正仿宋_GBK" w:cs="Calibri"/>
          <w:sz w:val="32"/>
          <w:szCs w:val="32"/>
        </w:rPr>
        <w:t>2014年9月30日正式对外</w:t>
      </w:r>
      <w:r>
        <w:rPr>
          <w:rFonts w:ascii="方正仿宋_GBK" w:hAnsi="Calibri" w:eastAsia="方正仿宋_GBK" w:cs="Times New Roman"/>
          <w:sz w:val="32"/>
          <w:szCs w:val="32"/>
        </w:rPr>
        <w:t>开放。</w:t>
      </w:r>
    </w:p>
    <w:p w14:paraId="0D422416">
      <w:pPr>
        <w:spacing w:line="600" w:lineRule="exact"/>
        <w:ind w:firstLine="640" w:firstLineChars="200"/>
        <w:rPr>
          <w:rFonts w:ascii="方正仿宋_GBK" w:hAnsi="Calibri" w:eastAsia="方正仿宋_GBK" w:cs="Times New Roman"/>
          <w:sz w:val="32"/>
          <w:szCs w:val="32"/>
        </w:rPr>
      </w:pPr>
      <w:r>
        <w:rPr>
          <w:rFonts w:hint="eastAsia" w:ascii="方正仿宋_GBK" w:hAnsi="Calibri" w:eastAsia="方正仿宋_GBK" w:cs="Times New Roman"/>
          <w:sz w:val="32"/>
          <w:szCs w:val="32"/>
        </w:rPr>
        <w:t>（二）</w:t>
      </w:r>
      <w:r>
        <w:rPr>
          <w:rFonts w:hint="eastAsia" w:ascii="Calibri" w:hAnsi="Calibri" w:eastAsia="方正楷体_GBK" w:cs="Times New Roman"/>
          <w:sz w:val="32"/>
          <w:szCs w:val="32"/>
        </w:rPr>
        <w:t>人员情况</w:t>
      </w:r>
      <w:r>
        <w:rPr>
          <w:rFonts w:hint="eastAsia" w:ascii="方正仿宋_GBK" w:hAnsi="Calibri" w:eastAsia="方正仿宋_GBK" w:cs="Times New Roman"/>
          <w:sz w:val="32"/>
          <w:szCs w:val="32"/>
        </w:rPr>
        <w:t>。</w:t>
      </w:r>
      <w:r>
        <w:rPr>
          <w:rFonts w:ascii="方正仿宋_GBK" w:eastAsia="方正仿宋_GBK"/>
          <w:sz w:val="32"/>
          <w:szCs w:val="32"/>
        </w:rPr>
        <w:t>本单位现设置全额拨款事业编制</w:t>
      </w:r>
      <w:r>
        <w:rPr>
          <w:rFonts w:hint="eastAsia" w:ascii="Times New Roman" w:hAnsi="Times New Roman" w:eastAsia="方正仿宋_GBK" w:cs="Times New Roman"/>
          <w:bCs/>
          <w:kern w:val="0"/>
          <w:sz w:val="32"/>
          <w:szCs w:val="32"/>
        </w:rPr>
        <w:t>30</w:t>
      </w:r>
      <w:r>
        <w:rPr>
          <w:rFonts w:ascii="方正仿宋_GBK" w:eastAsia="方正仿宋_GBK"/>
          <w:sz w:val="32"/>
          <w:szCs w:val="32"/>
        </w:rPr>
        <w:t>名。其中，馆长</w:t>
      </w:r>
      <w:r>
        <w:rPr>
          <w:rFonts w:hint="eastAsia" w:ascii="Times New Roman" w:hAnsi="Times New Roman" w:eastAsia="方正仿宋_GBK" w:cs="Calibri"/>
          <w:sz w:val="32"/>
          <w:szCs w:val="32"/>
        </w:rPr>
        <w:t>1</w:t>
      </w:r>
      <w:r>
        <w:rPr>
          <w:rFonts w:ascii="方正仿宋_GBK" w:eastAsia="方正仿宋_GBK"/>
          <w:sz w:val="32"/>
          <w:szCs w:val="32"/>
        </w:rPr>
        <w:t>名（正处级），副馆长</w:t>
      </w:r>
      <w:r>
        <w:rPr>
          <w:rFonts w:hint="eastAsia" w:ascii="Times New Roman" w:hAnsi="Times New Roman" w:eastAsia="方正仿宋_GBK" w:cs="Calibri"/>
          <w:sz w:val="32"/>
          <w:szCs w:val="32"/>
        </w:rPr>
        <w:t>3</w:t>
      </w:r>
      <w:r>
        <w:rPr>
          <w:rFonts w:ascii="方正仿宋_GBK" w:eastAsia="方正仿宋_GBK"/>
          <w:sz w:val="32"/>
          <w:szCs w:val="32"/>
        </w:rPr>
        <w:t>名（副处级）。截</w:t>
      </w:r>
      <w:r>
        <w:rPr>
          <w:rFonts w:hint="eastAsia" w:ascii="方正仿宋_GBK" w:eastAsia="方正仿宋_GBK"/>
          <w:sz w:val="32"/>
          <w:szCs w:val="32"/>
        </w:rPr>
        <w:t>至</w:t>
      </w:r>
      <w:r>
        <w:rPr>
          <w:rFonts w:hint="eastAsia" w:ascii="Times New Roman" w:hAnsi="Times New Roman" w:eastAsia="方正仿宋_GBK" w:cs="Calibri"/>
          <w:sz w:val="32"/>
          <w:szCs w:val="32"/>
        </w:rPr>
        <w:t>202</w:t>
      </w:r>
      <w:r>
        <w:rPr>
          <w:rFonts w:hint="eastAsia" w:ascii="Times New Roman" w:hAnsi="Times New Roman" w:eastAsia="方正仿宋_GBK" w:cs="Calibri"/>
          <w:sz w:val="32"/>
          <w:szCs w:val="32"/>
          <w:lang w:val="en-US" w:eastAsia="zh-CN"/>
        </w:rPr>
        <w:t>5</w:t>
      </w:r>
      <w:r>
        <w:rPr>
          <w:rFonts w:ascii="方正仿宋_GBK" w:eastAsia="方正仿宋_GBK"/>
          <w:sz w:val="32"/>
          <w:szCs w:val="32"/>
        </w:rPr>
        <w:t>年</w:t>
      </w:r>
      <w:r>
        <w:rPr>
          <w:rFonts w:hint="eastAsia" w:ascii="Times New Roman" w:hAnsi="Times New Roman" w:eastAsia="方正仿宋_GBK" w:cs="Calibri"/>
          <w:sz w:val="32"/>
          <w:szCs w:val="32"/>
        </w:rPr>
        <w:t>12</w:t>
      </w:r>
      <w:r>
        <w:rPr>
          <w:rFonts w:ascii="方正仿宋_GBK" w:eastAsia="方正仿宋_GBK"/>
          <w:sz w:val="32"/>
          <w:szCs w:val="32"/>
        </w:rPr>
        <w:t>月</w:t>
      </w:r>
      <w:r>
        <w:rPr>
          <w:rFonts w:hint="eastAsia" w:ascii="Times New Roman" w:hAnsi="Times New Roman" w:eastAsia="方正仿宋_GBK" w:cs="Calibri"/>
          <w:sz w:val="32"/>
          <w:szCs w:val="32"/>
        </w:rPr>
        <w:t>31</w:t>
      </w:r>
      <w:r>
        <w:rPr>
          <w:rFonts w:ascii="方正仿宋_GBK" w:eastAsia="方正仿宋_GBK"/>
          <w:sz w:val="32"/>
          <w:szCs w:val="32"/>
        </w:rPr>
        <w:t>日，我馆共有在岗在编人员</w:t>
      </w:r>
      <w:r>
        <w:rPr>
          <w:rFonts w:hint="eastAsia" w:ascii="Times New Roman" w:hAnsi="Times New Roman" w:eastAsia="方正仿宋_GBK" w:cs="Calibri"/>
          <w:sz w:val="32"/>
          <w:szCs w:val="32"/>
        </w:rPr>
        <w:t>26</w:t>
      </w:r>
      <w:r>
        <w:rPr>
          <w:rFonts w:ascii="方正仿宋_GBK" w:eastAsia="方正仿宋_GBK"/>
          <w:sz w:val="32"/>
          <w:szCs w:val="32"/>
        </w:rPr>
        <w:t>人，</w:t>
      </w:r>
      <w:r>
        <w:rPr>
          <w:rFonts w:hint="eastAsia" w:ascii="方正仿宋_GBK" w:eastAsia="方正仿宋_GBK"/>
          <w:sz w:val="32"/>
          <w:szCs w:val="32"/>
        </w:rPr>
        <w:t>离退休</w:t>
      </w:r>
      <w:r>
        <w:rPr>
          <w:rFonts w:hint="eastAsia" w:ascii="Times New Roman" w:hAnsi="Times New Roman" w:eastAsia="方正仿宋_GBK" w:cs="Calibri"/>
          <w:sz w:val="32"/>
          <w:szCs w:val="32"/>
        </w:rPr>
        <w:t>2</w:t>
      </w:r>
      <w:r>
        <w:rPr>
          <w:rFonts w:hint="eastAsia" w:ascii="方正仿宋_GBK" w:eastAsia="方正仿宋_GBK"/>
          <w:sz w:val="32"/>
          <w:szCs w:val="32"/>
        </w:rPr>
        <w:t>人</w:t>
      </w:r>
      <w:r>
        <w:rPr>
          <w:rFonts w:ascii="方正仿宋_GBK" w:eastAsia="方正仿宋_GBK"/>
          <w:sz w:val="32"/>
          <w:szCs w:val="32"/>
        </w:rPr>
        <w:t>。其中，</w:t>
      </w:r>
      <w:r>
        <w:rPr>
          <w:rFonts w:hint="eastAsia" w:ascii="Times New Roman" w:hAnsi="Times New Roman" w:eastAsia="方正仿宋_GBK" w:cs="Calibri"/>
          <w:sz w:val="32"/>
          <w:szCs w:val="32"/>
        </w:rPr>
        <w:t>202</w:t>
      </w:r>
      <w:r>
        <w:rPr>
          <w:rFonts w:hint="eastAsia" w:ascii="Times New Roman" w:hAnsi="Times New Roman" w:eastAsia="方正仿宋_GBK" w:cs="Calibri"/>
          <w:sz w:val="32"/>
          <w:szCs w:val="32"/>
          <w:lang w:val="en-US" w:eastAsia="zh-CN"/>
        </w:rPr>
        <w:t>5</w:t>
      </w:r>
      <w:r>
        <w:rPr>
          <w:rFonts w:ascii="方正仿宋_GBK" w:eastAsia="方正仿宋_GBK"/>
          <w:sz w:val="32"/>
          <w:szCs w:val="32"/>
        </w:rPr>
        <w:t>年公招</w:t>
      </w:r>
      <w:r>
        <w:rPr>
          <w:rFonts w:hint="eastAsia" w:ascii="Times New Roman" w:hAnsi="Times New Roman" w:eastAsia="方正仿宋_GBK" w:cs="Calibri"/>
          <w:sz w:val="32"/>
          <w:szCs w:val="32"/>
          <w:lang w:val="en-US" w:eastAsia="zh-CN"/>
        </w:rPr>
        <w:t>0</w:t>
      </w:r>
      <w:r>
        <w:rPr>
          <w:rFonts w:ascii="方正仿宋_GBK" w:eastAsia="方正仿宋_GBK"/>
          <w:sz w:val="32"/>
          <w:szCs w:val="32"/>
        </w:rPr>
        <w:t>人，军转</w:t>
      </w:r>
      <w:r>
        <w:rPr>
          <w:rFonts w:hint="eastAsia" w:ascii="Times New Roman" w:hAnsi="Times New Roman" w:eastAsia="方正仿宋_GBK" w:cs="Calibri"/>
          <w:sz w:val="32"/>
          <w:szCs w:val="32"/>
        </w:rPr>
        <w:t>0</w:t>
      </w:r>
      <w:r>
        <w:rPr>
          <w:rFonts w:ascii="方正仿宋_GBK" w:eastAsia="方正仿宋_GBK"/>
          <w:sz w:val="32"/>
          <w:szCs w:val="32"/>
        </w:rPr>
        <w:t>人，在编人员</w:t>
      </w:r>
      <w:r>
        <w:rPr>
          <w:rFonts w:hint="eastAsia" w:ascii="方正仿宋_GBK" w:eastAsia="方正仿宋_GBK"/>
          <w:sz w:val="32"/>
          <w:szCs w:val="32"/>
        </w:rPr>
        <w:t>出编</w:t>
      </w:r>
      <w:r>
        <w:rPr>
          <w:rFonts w:hint="eastAsia" w:ascii="Times New Roman" w:hAnsi="Times New Roman" w:eastAsia="方正仿宋_GBK" w:cs="Calibri"/>
          <w:sz w:val="32"/>
          <w:szCs w:val="32"/>
          <w:lang w:val="en-US" w:eastAsia="zh-CN"/>
        </w:rPr>
        <w:t>0</w:t>
      </w:r>
      <w:r>
        <w:rPr>
          <w:rFonts w:ascii="方正仿宋_GBK" w:eastAsia="方正仿宋_GBK"/>
          <w:sz w:val="32"/>
          <w:szCs w:val="32"/>
        </w:rPr>
        <w:t>人</w:t>
      </w:r>
      <w:r>
        <w:rPr>
          <w:rFonts w:hint="eastAsia" w:ascii="方正仿宋_GBK" w:eastAsia="方正仿宋_GBK"/>
          <w:sz w:val="32"/>
          <w:szCs w:val="32"/>
        </w:rPr>
        <w:t>，离退休</w:t>
      </w:r>
      <w:r>
        <w:rPr>
          <w:rFonts w:hint="eastAsia" w:ascii="Times New Roman" w:hAnsi="Times New Roman" w:eastAsia="方正仿宋_GBK" w:cs="Calibri"/>
          <w:sz w:val="32"/>
          <w:szCs w:val="32"/>
        </w:rPr>
        <w:t>0</w:t>
      </w:r>
      <w:r>
        <w:rPr>
          <w:rFonts w:hint="eastAsia" w:ascii="方正仿宋_GBK" w:eastAsia="方正仿宋_GBK"/>
          <w:sz w:val="32"/>
          <w:szCs w:val="32"/>
        </w:rPr>
        <w:t>人</w:t>
      </w:r>
      <w:r>
        <w:rPr>
          <w:rFonts w:ascii="方正仿宋_GBK" w:eastAsia="方正仿宋_GBK"/>
          <w:sz w:val="32"/>
          <w:szCs w:val="32"/>
        </w:rPr>
        <w:t>。</w:t>
      </w:r>
    </w:p>
    <w:p w14:paraId="41EF1BA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27C691F">
      <w:pPr>
        <w:widowControl/>
        <w:spacing w:line="600" w:lineRule="exact"/>
        <w:ind w:firstLine="640" w:firstLineChars="200"/>
        <w:rPr>
          <w:rFonts w:ascii="方正仿宋_GBK" w:hAnsi="Calibri" w:eastAsia="方正仿宋_GBK" w:cs="Times New Roman"/>
          <w:sz w:val="32"/>
          <w:szCs w:val="32"/>
          <w:highlight w:val="none"/>
        </w:rPr>
      </w:pPr>
      <w:r>
        <w:rPr>
          <w:rFonts w:ascii="Times New Roman" w:hAnsi="Times New Roman" w:eastAsia="仿宋_GB2312" w:cs="Times New Roman"/>
          <w:bCs/>
          <w:kern w:val="0"/>
          <w:sz w:val="32"/>
          <w:szCs w:val="32"/>
        </w:rPr>
        <w:t>（一</w:t>
      </w:r>
      <w:r>
        <w:rPr>
          <w:rFonts w:ascii="Times New Roman" w:hAnsi="Times New Roman" w:eastAsia="仿宋_GB2312" w:cs="Times New Roman"/>
          <w:bCs/>
          <w:kern w:val="0"/>
          <w:sz w:val="32"/>
          <w:szCs w:val="32"/>
          <w:highlight w:val="none"/>
        </w:rPr>
        <w:t>）</w:t>
      </w:r>
      <w:r>
        <w:rPr>
          <w:rFonts w:hint="eastAsia" w:eastAsia="方正楷体_GBK"/>
          <w:sz w:val="32"/>
          <w:szCs w:val="32"/>
          <w:highlight w:val="none"/>
        </w:rPr>
        <w:t>内设机构设置：</w:t>
      </w:r>
      <w:r>
        <w:rPr>
          <w:rFonts w:hint="eastAsia" w:ascii="方正仿宋_GBK" w:hAnsi="Calibri" w:eastAsia="方正仿宋_GBK" w:cs="Times New Roman"/>
          <w:sz w:val="32"/>
          <w:szCs w:val="32"/>
          <w:highlight w:val="none"/>
        </w:rPr>
        <w:t>中国共产党湖南历史展览馆单位本级内设</w:t>
      </w:r>
      <w:r>
        <w:rPr>
          <w:rFonts w:ascii="Times New Roman" w:hAnsi="Times New Roman" w:eastAsia="方正仿宋_GBK" w:cs="Times New Roman"/>
          <w:sz w:val="32"/>
          <w:szCs w:val="32"/>
          <w:highlight w:val="none"/>
        </w:rPr>
        <w:t>5</w:t>
      </w:r>
      <w:r>
        <w:rPr>
          <w:rFonts w:hint="eastAsia" w:ascii="方正仿宋_GBK" w:hAnsi="Calibri" w:eastAsia="方正仿宋_GBK" w:cs="Times New Roman"/>
          <w:sz w:val="32"/>
          <w:szCs w:val="32"/>
          <w:highlight w:val="none"/>
        </w:rPr>
        <w:t>个部室，分别为办公室、人事部、宣教部、陈展</w:t>
      </w:r>
      <w:r>
        <w:rPr>
          <w:rFonts w:hint="eastAsia" w:ascii="方正仿宋_GBK" w:hAnsi="Calibri" w:eastAsia="方正仿宋_GBK" w:cs="Times New Roman"/>
          <w:sz w:val="32"/>
          <w:szCs w:val="32"/>
          <w:highlight w:val="none"/>
          <w:lang w:eastAsia="zh-CN"/>
        </w:rPr>
        <w:t>文创</w:t>
      </w:r>
      <w:r>
        <w:rPr>
          <w:rFonts w:hint="eastAsia" w:ascii="方正仿宋_GBK" w:hAnsi="Calibri" w:eastAsia="方正仿宋_GBK" w:cs="Times New Roman"/>
          <w:sz w:val="32"/>
          <w:szCs w:val="32"/>
          <w:highlight w:val="none"/>
        </w:rPr>
        <w:t>部、</w:t>
      </w:r>
      <w:r>
        <w:rPr>
          <w:rFonts w:hint="eastAsia" w:ascii="方正仿宋_GBK" w:hAnsi="Calibri" w:eastAsia="方正仿宋_GBK" w:cs="Times New Roman"/>
          <w:sz w:val="32"/>
          <w:szCs w:val="32"/>
          <w:highlight w:val="none"/>
          <w:lang w:eastAsia="zh-CN"/>
        </w:rPr>
        <w:t>文物信息</w:t>
      </w:r>
      <w:r>
        <w:rPr>
          <w:rFonts w:hint="eastAsia" w:ascii="方正仿宋_GBK" w:hAnsi="Calibri" w:eastAsia="方正仿宋_GBK" w:cs="Times New Roman"/>
          <w:sz w:val="32"/>
          <w:szCs w:val="32"/>
          <w:highlight w:val="none"/>
        </w:rPr>
        <w:t>部。</w:t>
      </w:r>
    </w:p>
    <w:p w14:paraId="0B21BFC3">
      <w:pPr>
        <w:widowControl/>
        <w:spacing w:line="600" w:lineRule="exact"/>
        <w:ind w:firstLine="640" w:firstLineChars="200"/>
        <w:rPr>
          <w:rFonts w:ascii="仿宋_GB2312" w:hAnsi="仿宋" w:eastAsia="仿宋_GB2312"/>
          <w:sz w:val="32"/>
          <w:szCs w:val="32"/>
          <w:highlight w:val="none"/>
        </w:rPr>
      </w:pPr>
      <w:r>
        <w:rPr>
          <w:rFonts w:ascii="Times New Roman" w:hAnsi="Times New Roman" w:eastAsia="仿宋_GB2312" w:cs="Times New Roman"/>
          <w:bCs/>
          <w:kern w:val="0"/>
          <w:sz w:val="32"/>
          <w:szCs w:val="32"/>
          <w:highlight w:val="none"/>
        </w:rPr>
        <w:t>（二）</w:t>
      </w:r>
      <w:r>
        <w:rPr>
          <w:rFonts w:hint="eastAsia" w:eastAsia="方正楷体_GBK"/>
          <w:sz w:val="32"/>
          <w:szCs w:val="32"/>
          <w:highlight w:val="none"/>
        </w:rPr>
        <w:t>决算单位构成：</w:t>
      </w:r>
      <w:r>
        <w:rPr>
          <w:rFonts w:hint="eastAsia" w:ascii="方正仿宋_GBK" w:hAnsi="Calibri" w:eastAsia="方正仿宋_GBK" w:cs="Times New Roman"/>
          <w:sz w:val="32"/>
          <w:szCs w:val="32"/>
          <w:highlight w:val="none"/>
        </w:rPr>
        <w:t>中国共产党湖南历史展览</w:t>
      </w:r>
      <w:r>
        <w:rPr>
          <w:rFonts w:hint="eastAsia" w:ascii="Times New Roman" w:hAnsi="Times New Roman" w:eastAsia="方正仿宋_GBK" w:cs="Calibri"/>
          <w:sz w:val="32"/>
          <w:szCs w:val="32"/>
          <w:highlight w:val="none"/>
        </w:rPr>
        <w:t>馆202</w:t>
      </w:r>
      <w:r>
        <w:rPr>
          <w:rFonts w:hint="eastAsia" w:ascii="Times New Roman" w:hAnsi="Times New Roman" w:eastAsia="方正仿宋_GBK" w:cs="Calibri"/>
          <w:sz w:val="32"/>
          <w:szCs w:val="32"/>
          <w:highlight w:val="none"/>
          <w:lang w:val="en-US" w:eastAsia="zh-CN"/>
        </w:rPr>
        <w:t>5</w:t>
      </w:r>
      <w:r>
        <w:rPr>
          <w:rFonts w:hint="eastAsia" w:ascii="Times New Roman" w:hAnsi="Times New Roman" w:eastAsia="方正仿宋_GBK" w:cs="Calibri"/>
          <w:sz w:val="32"/>
          <w:szCs w:val="32"/>
          <w:highlight w:val="none"/>
        </w:rPr>
        <w:t>年</w:t>
      </w:r>
      <w:r>
        <w:rPr>
          <w:rFonts w:hint="eastAsia" w:ascii="方正仿宋_GBK" w:hAnsi="Calibri" w:eastAsia="方正仿宋_GBK" w:cs="Times New Roman"/>
          <w:sz w:val="32"/>
          <w:szCs w:val="32"/>
          <w:highlight w:val="none"/>
        </w:rPr>
        <w:t>部门决算汇总公开单位构成包括：中国共产党湖南历史展览馆单位本级。</w:t>
      </w:r>
    </w:p>
    <w:p w14:paraId="05631420">
      <w:pPr>
        <w:jc w:val="left"/>
        <w:rPr>
          <w:rFonts w:ascii="Times New Roman" w:hAnsi="Times New Roman" w:eastAsia="仿宋_GB2312" w:cs="Times New Roman"/>
          <w:sz w:val="28"/>
          <w:szCs w:val="32"/>
          <w:highlight w:val="none"/>
        </w:rPr>
      </w:pPr>
    </w:p>
    <w:p w14:paraId="0195E319">
      <w:pPr>
        <w:jc w:val="center"/>
        <w:rPr>
          <w:rFonts w:ascii="Times New Roman" w:hAnsi="Times New Roman" w:eastAsia="黑体" w:cs="Times New Roman"/>
          <w:sz w:val="28"/>
          <w:szCs w:val="28"/>
          <w:highlight w:val="none"/>
        </w:rPr>
      </w:pPr>
    </w:p>
    <w:p w14:paraId="417DBB95">
      <w:pPr>
        <w:jc w:val="center"/>
        <w:rPr>
          <w:rFonts w:ascii="Times New Roman" w:hAnsi="Times New Roman" w:eastAsia="黑体" w:cs="Times New Roman"/>
          <w:sz w:val="28"/>
          <w:szCs w:val="28"/>
          <w:highlight w:val="none"/>
        </w:rPr>
      </w:pPr>
    </w:p>
    <w:p w14:paraId="75BC79A9">
      <w:pPr>
        <w:pStyle w:val="9"/>
        <w:rPr>
          <w:rFonts w:ascii="Times New Roman" w:hAnsi="Times New Roman" w:cs="Times New Roman"/>
          <w:highlight w:val="none"/>
        </w:rPr>
        <w:sectPr>
          <w:footerReference r:id="rId6" w:type="default"/>
          <w:pgSz w:w="11906" w:h="16838"/>
          <w:pgMar w:top="1417" w:right="1588" w:bottom="1417" w:left="1588" w:header="851" w:footer="992" w:gutter="0"/>
          <w:pgNumType w:start="1"/>
          <w:cols w:space="425" w:num="1"/>
          <w:docGrid w:type="lines" w:linePitch="312" w:charSpace="0"/>
        </w:sectPr>
      </w:pPr>
    </w:p>
    <w:p w14:paraId="23760823">
      <w:pPr>
        <w:pStyle w:val="15"/>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第二部分    部门决算表</w:t>
      </w:r>
    </w:p>
    <w:p w14:paraId="4A1E7C25">
      <w:pPr>
        <w:widowControl/>
        <w:jc w:val="left"/>
        <w:textAlignment w:val="center"/>
        <w:rPr>
          <w:rFonts w:ascii="Times New Roman" w:hAnsi="Times New Roman" w:eastAsia="仿宋_GB2312" w:cs="Times New Roman"/>
          <w:color w:val="000000"/>
          <w:sz w:val="24"/>
          <w:szCs w:val="24"/>
          <w:highlight w:val="none"/>
        </w:rPr>
      </w:pPr>
      <w:r>
        <w:rPr>
          <w:highlight w:val="none"/>
        </w:rPr>
        <w:drawing>
          <wp:inline distT="0" distB="0" distL="114300" distR="114300">
            <wp:extent cx="8829675" cy="5604510"/>
            <wp:effectExtent l="0" t="0" r="952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8829675" cy="5604510"/>
                    </a:xfrm>
                    <a:prstGeom prst="rect">
                      <a:avLst/>
                    </a:prstGeom>
                    <a:noFill/>
                    <a:ln>
                      <a:noFill/>
                    </a:ln>
                  </pic:spPr>
                </pic:pic>
              </a:graphicData>
            </a:graphic>
          </wp:inline>
        </w:drawing>
      </w:r>
    </w:p>
    <w:p w14:paraId="4E77A974">
      <w:pPr>
        <w:rPr>
          <w:rFonts w:ascii="Times New Roman" w:hAnsi="Times New Roman" w:eastAsia="黑体" w:cs="Times New Roman"/>
          <w:bCs/>
          <w:kern w:val="0"/>
          <w:sz w:val="32"/>
          <w:szCs w:val="32"/>
          <w:highlight w:val="none"/>
        </w:rPr>
      </w:pPr>
      <w:r>
        <w:rPr>
          <w:rFonts w:ascii="Times New Roman" w:hAnsi="Times New Roman" w:eastAsia="黑体" w:cs="Times New Roman"/>
          <w:bCs/>
          <w:kern w:val="0"/>
          <w:sz w:val="32"/>
          <w:szCs w:val="32"/>
          <w:highlight w:val="none"/>
        </w:rPr>
        <w:br w:type="page"/>
      </w:r>
      <w:r>
        <w:rPr>
          <w:highlight w:val="none"/>
        </w:rPr>
        <w:drawing>
          <wp:inline distT="0" distB="0" distL="114300" distR="114300">
            <wp:extent cx="8881745" cy="4904740"/>
            <wp:effectExtent l="0" t="0" r="1460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8881745" cy="4904740"/>
                    </a:xfrm>
                    <a:prstGeom prst="rect">
                      <a:avLst/>
                    </a:prstGeom>
                    <a:noFill/>
                    <a:ln>
                      <a:noFill/>
                    </a:ln>
                  </pic:spPr>
                </pic:pic>
              </a:graphicData>
            </a:graphic>
          </wp:inline>
        </w:drawing>
      </w:r>
    </w:p>
    <w:p w14:paraId="2E1601C8">
      <w:pPr>
        <w:widowControl/>
        <w:jc w:val="center"/>
        <w:textAlignment w:val="center"/>
        <w:rPr>
          <w:rFonts w:ascii="Times New Roman" w:hAnsi="Times New Roman" w:eastAsia="黑体" w:cs="Times New Roman"/>
          <w:color w:val="000000"/>
          <w:kern w:val="0"/>
          <w:sz w:val="32"/>
          <w:szCs w:val="32"/>
          <w:highlight w:val="none"/>
          <w:lang w:bidi="ar"/>
        </w:rPr>
      </w:pPr>
    </w:p>
    <w:p w14:paraId="45F0C384">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6678F5F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highlight w:val="none"/>
        </w:rPr>
      </w:pPr>
      <w:bookmarkStart w:id="0" w:name="RANGE!A1:I22"/>
      <w:bookmarkEnd w:id="0"/>
      <w:bookmarkStart w:id="1" w:name="RANGE!A1:F16"/>
    </w:p>
    <w:p w14:paraId="4CF2ECD9">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kern w:val="0"/>
          <w:sz w:val="24"/>
          <w:szCs w:val="24"/>
          <w:highlight w:val="none"/>
        </w:rPr>
      </w:pPr>
      <w:r>
        <w:rPr>
          <w:highlight w:val="none"/>
        </w:rPr>
        <w:drawing>
          <wp:inline distT="0" distB="0" distL="114300" distR="114300">
            <wp:extent cx="8886190" cy="5285740"/>
            <wp:effectExtent l="0" t="0" r="1016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8886190" cy="5285740"/>
                    </a:xfrm>
                    <a:prstGeom prst="rect">
                      <a:avLst/>
                    </a:prstGeom>
                    <a:noFill/>
                    <a:ln>
                      <a:noFill/>
                    </a:ln>
                  </pic:spPr>
                </pic:pic>
              </a:graphicData>
            </a:graphic>
          </wp:inline>
        </w:drawing>
      </w:r>
    </w:p>
    <w:p w14:paraId="04BC5F0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highlight w:val="none"/>
        </w:rPr>
      </w:pPr>
    </w:p>
    <w:p w14:paraId="77E2EAB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highlight w:val="none"/>
        </w:rPr>
      </w:pPr>
    </w:p>
    <w:p w14:paraId="4E735BDD">
      <w:pPr>
        <w:widowControl/>
        <w:tabs>
          <w:tab w:val="left" w:pos="3595"/>
          <w:tab w:val="left" w:pos="4031"/>
          <w:tab w:val="left" w:pos="5605"/>
          <w:tab w:val="left" w:pos="9152"/>
          <w:tab w:val="left" w:pos="9587"/>
          <w:tab w:val="left" w:pos="11160"/>
          <w:tab w:val="left" w:pos="12554"/>
          <w:tab w:val="left" w:pos="13948"/>
        </w:tabs>
        <w:jc w:val="both"/>
        <w:rPr>
          <w:rFonts w:ascii="Times New Roman" w:hAnsi="Times New Roman" w:eastAsia="黑体" w:cs="Times New Roman"/>
          <w:kern w:val="0"/>
          <w:sz w:val="24"/>
          <w:szCs w:val="24"/>
          <w:highlight w:val="none"/>
        </w:rPr>
      </w:pPr>
    </w:p>
    <w:p w14:paraId="4DF8473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highlight w:val="none"/>
        </w:rPr>
      </w:pPr>
      <w:r>
        <w:rPr>
          <w:highlight w:val="none"/>
        </w:rPr>
        <w:drawing>
          <wp:inline distT="0" distB="0" distL="114300" distR="114300">
            <wp:extent cx="8891905" cy="5651500"/>
            <wp:effectExtent l="0" t="0" r="444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8891905" cy="5651500"/>
                    </a:xfrm>
                    <a:prstGeom prst="rect">
                      <a:avLst/>
                    </a:prstGeom>
                    <a:noFill/>
                    <a:ln>
                      <a:noFill/>
                    </a:ln>
                  </pic:spPr>
                </pic:pic>
              </a:graphicData>
            </a:graphic>
          </wp:inline>
        </w:drawing>
      </w:r>
      <w:r>
        <w:rPr>
          <w:rFonts w:ascii="Times New Roman" w:hAnsi="Times New Roman" w:eastAsia="黑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p>
    <w:p w14:paraId="332BF479">
      <w:pPr>
        <w:pStyle w:val="5"/>
        <w:ind w:left="0" w:leftChars="0" w:firstLine="0" w:firstLineChars="0"/>
        <w:rPr>
          <w:highlight w:val="none"/>
        </w:rPr>
      </w:pPr>
    </w:p>
    <w:p w14:paraId="58FC43E3">
      <w:pPr>
        <w:widowControl/>
        <w:jc w:val="center"/>
        <w:rPr>
          <w:rFonts w:ascii="Times New Roman" w:hAnsi="Times New Roman" w:eastAsia="方正小标宋_GBK" w:cs="Times New Roman"/>
          <w:kern w:val="0"/>
          <w:sz w:val="36"/>
          <w:szCs w:val="36"/>
          <w:highlight w:val="none"/>
        </w:rPr>
      </w:pPr>
      <w:r>
        <w:rPr>
          <w:highlight w:val="none"/>
        </w:rPr>
        <w:drawing>
          <wp:inline distT="0" distB="0" distL="114300" distR="114300">
            <wp:extent cx="7555230" cy="5443855"/>
            <wp:effectExtent l="0" t="0" r="7620" b="444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7555230" cy="5443855"/>
                    </a:xfrm>
                    <a:prstGeom prst="rect">
                      <a:avLst/>
                    </a:prstGeom>
                    <a:noFill/>
                    <a:ln>
                      <a:noFill/>
                    </a:ln>
                  </pic:spPr>
                </pic:pic>
              </a:graphicData>
            </a:graphic>
          </wp:inline>
        </w:drawing>
      </w:r>
    </w:p>
    <w:p w14:paraId="1F39D6E9">
      <w:pPr>
        <w:pStyle w:val="5"/>
        <w:ind w:left="0" w:leftChars="0" w:firstLine="0" w:firstLineChars="0"/>
        <w:rPr>
          <w:rFonts w:ascii="Times New Roman" w:hAnsi="Times New Roman" w:eastAsia="方正小标宋_GBK" w:cs="Times New Roman"/>
          <w:kern w:val="0"/>
          <w:sz w:val="36"/>
          <w:szCs w:val="36"/>
          <w:highlight w:val="none"/>
        </w:rPr>
      </w:pPr>
    </w:p>
    <w:p w14:paraId="4545F92F">
      <w:pPr>
        <w:rPr>
          <w:rFonts w:ascii="Times New Roman" w:hAnsi="Times New Roman" w:eastAsia="方正小标宋_GBK" w:cs="Times New Roman"/>
          <w:kern w:val="0"/>
          <w:sz w:val="36"/>
          <w:szCs w:val="36"/>
          <w:highlight w:val="none"/>
        </w:rPr>
      </w:pPr>
      <w:r>
        <w:rPr>
          <w:highlight w:val="none"/>
        </w:rPr>
        <w:drawing>
          <wp:inline distT="0" distB="0" distL="114300" distR="114300">
            <wp:extent cx="8884920" cy="4937760"/>
            <wp:effectExtent l="0" t="0" r="11430" b="1524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3"/>
                    <a:stretch>
                      <a:fillRect/>
                    </a:stretch>
                  </pic:blipFill>
                  <pic:spPr>
                    <a:xfrm>
                      <a:off x="0" y="0"/>
                      <a:ext cx="8884920" cy="4937760"/>
                    </a:xfrm>
                    <a:prstGeom prst="rect">
                      <a:avLst/>
                    </a:prstGeom>
                    <a:noFill/>
                    <a:ln>
                      <a:noFill/>
                    </a:ln>
                  </pic:spPr>
                </pic:pic>
              </a:graphicData>
            </a:graphic>
          </wp:inline>
        </w:drawing>
      </w:r>
    </w:p>
    <w:p w14:paraId="3447FE53">
      <w:pPr>
        <w:pStyle w:val="9"/>
        <w:rPr>
          <w:rFonts w:ascii="Times New Roman" w:hAnsi="Times New Roman" w:eastAsia="方正小标宋_GBK" w:cs="Times New Roman"/>
          <w:kern w:val="0"/>
          <w:sz w:val="36"/>
          <w:szCs w:val="36"/>
          <w:highlight w:val="none"/>
        </w:rPr>
      </w:pPr>
    </w:p>
    <w:p w14:paraId="25A71786">
      <w:pPr>
        <w:pStyle w:val="5"/>
        <w:rPr>
          <w:rFonts w:ascii="Times New Roman" w:hAnsi="Times New Roman" w:eastAsia="方正小标宋_GBK" w:cs="Times New Roman"/>
          <w:kern w:val="0"/>
          <w:sz w:val="36"/>
          <w:szCs w:val="36"/>
          <w:highlight w:val="none"/>
        </w:rPr>
      </w:pPr>
    </w:p>
    <w:p w14:paraId="0A00F102">
      <w:pPr>
        <w:rPr>
          <w:rFonts w:ascii="Times New Roman" w:hAnsi="Times New Roman" w:eastAsia="方正小标宋_GBK" w:cs="Times New Roman"/>
          <w:kern w:val="0"/>
          <w:sz w:val="36"/>
          <w:szCs w:val="36"/>
          <w:highlight w:val="none"/>
        </w:rPr>
      </w:pPr>
    </w:p>
    <w:p w14:paraId="5D473E14">
      <w:pPr>
        <w:pStyle w:val="9"/>
        <w:rPr>
          <w:rFonts w:hint="eastAsia" w:ascii="Times New Roman" w:hAnsi="Times New Roman" w:cs="Times New Roman" w:eastAsiaTheme="minorEastAsia"/>
          <w:kern w:val="0"/>
          <w:sz w:val="36"/>
          <w:szCs w:val="36"/>
          <w:highlight w:val="none"/>
          <w:lang w:val="en-US" w:eastAsia="zh-CN"/>
        </w:rPr>
      </w:pPr>
      <w:r>
        <w:rPr>
          <w:highlight w:val="none"/>
        </w:rPr>
        <w:drawing>
          <wp:inline distT="0" distB="0" distL="114300" distR="114300">
            <wp:extent cx="8891270" cy="1888490"/>
            <wp:effectExtent l="0" t="0" r="5080" b="1651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8891270" cy="1888490"/>
                    </a:xfrm>
                    <a:prstGeom prst="rect">
                      <a:avLst/>
                    </a:prstGeom>
                    <a:noFill/>
                    <a:ln>
                      <a:noFill/>
                    </a:ln>
                  </pic:spPr>
                </pic:pic>
              </a:graphicData>
            </a:graphic>
          </wp:inline>
        </w:drawing>
      </w:r>
      <w:r>
        <w:rPr>
          <w:rFonts w:hint="eastAsia"/>
          <w:highlight w:val="none"/>
          <w:lang w:val="en-US" w:eastAsia="zh-CN"/>
        </w:rPr>
        <w:t xml:space="preserve"> </w:t>
      </w:r>
    </w:p>
    <w:p w14:paraId="6891B2F4">
      <w:pPr>
        <w:widowControl/>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b/>
          <w:bCs/>
          <w:kern w:val="0"/>
          <w:sz w:val="24"/>
          <w:szCs w:val="24"/>
          <w:highlight w:val="none"/>
          <w:lang w:bidi="ar"/>
        </w:rPr>
        <w:t>说明：我单位没有政府性基金收入，也没有使用政府性基金安排的支出，故本表无数据。</w:t>
      </w:r>
    </w:p>
    <w:p w14:paraId="117067E5">
      <w:pPr>
        <w:pStyle w:val="5"/>
        <w:rPr>
          <w:rFonts w:ascii="Times New Roman" w:hAnsi="Times New Roman" w:eastAsia="方正小标宋_GBK" w:cs="Times New Roman"/>
          <w:kern w:val="0"/>
          <w:sz w:val="36"/>
          <w:szCs w:val="36"/>
          <w:highlight w:val="none"/>
        </w:rPr>
      </w:pPr>
    </w:p>
    <w:p w14:paraId="5B087B81">
      <w:pPr>
        <w:rPr>
          <w:rFonts w:ascii="Times New Roman" w:hAnsi="Times New Roman" w:eastAsia="方正小标宋_GBK" w:cs="Times New Roman"/>
          <w:kern w:val="0"/>
          <w:sz w:val="36"/>
          <w:szCs w:val="36"/>
          <w:highlight w:val="none"/>
        </w:rPr>
      </w:pPr>
    </w:p>
    <w:p w14:paraId="05246B44">
      <w:pPr>
        <w:pStyle w:val="9"/>
        <w:rPr>
          <w:rFonts w:ascii="Times New Roman" w:hAnsi="Times New Roman" w:eastAsia="方正小标宋_GBK" w:cs="Times New Roman"/>
          <w:kern w:val="0"/>
          <w:sz w:val="36"/>
          <w:szCs w:val="36"/>
          <w:highlight w:val="none"/>
        </w:rPr>
      </w:pPr>
    </w:p>
    <w:p w14:paraId="7A30665D">
      <w:pPr>
        <w:pStyle w:val="5"/>
        <w:rPr>
          <w:rFonts w:ascii="Times New Roman" w:hAnsi="Times New Roman" w:eastAsia="方正小标宋_GBK" w:cs="Times New Roman"/>
          <w:kern w:val="0"/>
          <w:sz w:val="36"/>
          <w:szCs w:val="36"/>
          <w:highlight w:val="none"/>
        </w:rPr>
      </w:pPr>
    </w:p>
    <w:p w14:paraId="7166E33C">
      <w:pPr>
        <w:rPr>
          <w:rFonts w:ascii="Times New Roman" w:hAnsi="Times New Roman" w:eastAsia="方正小标宋_GBK" w:cs="Times New Roman"/>
          <w:kern w:val="0"/>
          <w:sz w:val="36"/>
          <w:szCs w:val="36"/>
          <w:highlight w:val="none"/>
        </w:rPr>
      </w:pPr>
    </w:p>
    <w:p w14:paraId="00570C6C">
      <w:pPr>
        <w:pStyle w:val="9"/>
        <w:rPr>
          <w:rFonts w:ascii="Times New Roman" w:hAnsi="Times New Roman" w:eastAsia="方正小标宋_GBK" w:cs="Times New Roman"/>
          <w:kern w:val="0"/>
          <w:sz w:val="36"/>
          <w:szCs w:val="36"/>
          <w:highlight w:val="none"/>
        </w:rPr>
      </w:pPr>
    </w:p>
    <w:bookmarkEnd w:id="1"/>
    <w:p w14:paraId="78AB12B3">
      <w:pPr>
        <w:widowControl/>
        <w:spacing w:line="400" w:lineRule="exact"/>
        <w:jc w:val="center"/>
        <w:textAlignment w:val="center"/>
        <w:rPr>
          <w:rFonts w:ascii="Times New Roman" w:hAnsi="Times New Roman" w:eastAsia="仿宋_GB2312" w:cs="Times New Roman"/>
          <w:color w:val="000000"/>
          <w:kern w:val="0"/>
          <w:sz w:val="32"/>
          <w:szCs w:val="32"/>
          <w:highlight w:val="none"/>
          <w:lang w:bidi="ar"/>
        </w:rPr>
      </w:pPr>
    </w:p>
    <w:p w14:paraId="1054B754">
      <w:pPr>
        <w:widowControl/>
        <w:jc w:val="center"/>
        <w:rPr>
          <w:rFonts w:ascii="Times New Roman" w:hAnsi="Times New Roman" w:eastAsia="方正小标宋_GBK" w:cs="Times New Roman"/>
          <w:color w:val="000000"/>
          <w:kern w:val="0"/>
          <w:sz w:val="36"/>
          <w:szCs w:val="36"/>
          <w:highlight w:val="none"/>
        </w:rPr>
      </w:pPr>
    </w:p>
    <w:p w14:paraId="1DE671FC">
      <w:pPr>
        <w:widowControl/>
        <w:spacing w:line="400" w:lineRule="exact"/>
        <w:textAlignment w:val="center"/>
        <w:rPr>
          <w:rFonts w:ascii="Times New Roman" w:hAnsi="Times New Roman" w:eastAsia="黑体" w:cs="Times New Roman"/>
          <w:color w:val="000000"/>
          <w:kern w:val="0"/>
          <w:sz w:val="36"/>
          <w:szCs w:val="36"/>
          <w:highlight w:val="none"/>
          <w:lang w:bidi="ar"/>
        </w:rPr>
      </w:pPr>
    </w:p>
    <w:p w14:paraId="150089C5">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国有资本经营预算财政拨款支出决算表</w:t>
      </w:r>
    </w:p>
    <w:p w14:paraId="401410E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公开08表</w:t>
      </w:r>
    </w:p>
    <w:p w14:paraId="5D10673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sz w:val="20"/>
          <w:szCs w:val="20"/>
          <w:highlight w:val="none"/>
        </w:rPr>
        <w:t>中国共产党湖南历史展览馆</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单位：万元</w:t>
      </w:r>
    </w:p>
    <w:tbl>
      <w:tblPr>
        <w:tblStyle w:val="11"/>
        <w:tblW w:w="4998" w:type="pct"/>
        <w:tblInd w:w="0" w:type="dxa"/>
        <w:tblLayout w:type="autofit"/>
        <w:tblCellMar>
          <w:top w:w="0" w:type="dxa"/>
          <w:left w:w="108" w:type="dxa"/>
          <w:bottom w:w="0" w:type="dxa"/>
          <w:right w:w="108" w:type="dxa"/>
        </w:tblCellMar>
      </w:tblPr>
      <w:tblGrid>
        <w:gridCol w:w="3092"/>
        <w:gridCol w:w="3096"/>
        <w:gridCol w:w="1831"/>
        <w:gridCol w:w="3096"/>
        <w:gridCol w:w="3099"/>
      </w:tblGrid>
      <w:tr w14:paraId="01AC3FA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3FC7E">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项 </w:t>
            </w:r>
            <w:r>
              <w:rPr>
                <w:rFonts w:ascii="Times New Roman" w:hAnsi="Times New Roman" w:eastAsia="仿宋_GB2312" w:cs="Times New Roman"/>
                <w:b/>
                <w:bCs/>
                <w:color w:val="000000"/>
                <w:kern w:val="0"/>
                <w:sz w:val="22"/>
                <w:highlight w:val="none"/>
                <w:lang w:bidi="ar"/>
              </w:rPr>
              <w:t xml:space="preserve">   </w:t>
            </w:r>
            <w:r>
              <w:rPr>
                <w:rStyle w:val="20"/>
                <w:rFonts w:hint="default" w:ascii="Times New Roman" w:hAnsi="Times New Roman" w:eastAsia="仿宋_GB2312" w:cs="Times New Roman"/>
                <w:b/>
                <w:bCs/>
                <w:highlight w:val="none"/>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A1EDB">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本年支出</w:t>
            </w:r>
          </w:p>
        </w:tc>
      </w:tr>
      <w:tr w14:paraId="39E0529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D1BB9">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08AF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06395">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F02FB">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C2C0B">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项目支出</w:t>
            </w:r>
          </w:p>
        </w:tc>
      </w:tr>
      <w:tr w14:paraId="4794487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3DE3C">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7097A">
            <w:pPr>
              <w:jc w:val="center"/>
              <w:rPr>
                <w:rFonts w:ascii="Times New Roman" w:hAnsi="Times New Roman" w:eastAsia="仿宋_GB2312" w:cs="Times New Roman"/>
                <w:color w:val="000000"/>
                <w:sz w:val="24"/>
                <w:szCs w:val="24"/>
                <w:highlight w:val="none"/>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A86EA">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D6F3">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B986D">
            <w:pPr>
              <w:jc w:val="center"/>
              <w:rPr>
                <w:rFonts w:ascii="Times New Roman" w:hAnsi="Times New Roman" w:eastAsia="仿宋_GB2312" w:cs="Times New Roman"/>
                <w:color w:val="000000"/>
                <w:sz w:val="24"/>
                <w:szCs w:val="24"/>
                <w:highlight w:val="none"/>
              </w:rPr>
            </w:pPr>
          </w:p>
        </w:tc>
      </w:tr>
      <w:tr w14:paraId="3C4B276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6B20C">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64B57">
            <w:pPr>
              <w:jc w:val="center"/>
              <w:rPr>
                <w:rFonts w:ascii="Times New Roman" w:hAnsi="Times New Roman" w:eastAsia="仿宋_GB2312" w:cs="Times New Roman"/>
                <w:color w:val="000000"/>
                <w:sz w:val="24"/>
                <w:szCs w:val="24"/>
                <w:highlight w:val="none"/>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1C28F">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F12B">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CE8F7">
            <w:pPr>
              <w:jc w:val="center"/>
              <w:rPr>
                <w:rFonts w:ascii="Times New Roman" w:hAnsi="Times New Roman" w:eastAsia="仿宋_GB2312" w:cs="Times New Roman"/>
                <w:color w:val="000000"/>
                <w:sz w:val="24"/>
                <w:szCs w:val="24"/>
                <w:highlight w:val="none"/>
              </w:rPr>
            </w:pPr>
          </w:p>
        </w:tc>
      </w:tr>
      <w:tr w14:paraId="39A3EDF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1C294">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1217B">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495CF">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9047">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3</w:t>
            </w:r>
          </w:p>
        </w:tc>
      </w:tr>
      <w:tr w14:paraId="7B09E4C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C3941">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6DAB2">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7487">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8C8C1">
            <w:pPr>
              <w:jc w:val="center"/>
              <w:rPr>
                <w:rFonts w:ascii="Times New Roman" w:hAnsi="Times New Roman" w:eastAsia="仿宋_GB2312" w:cs="Times New Roman"/>
                <w:color w:val="000000"/>
                <w:sz w:val="24"/>
                <w:szCs w:val="24"/>
                <w:highlight w:val="none"/>
              </w:rPr>
            </w:pPr>
          </w:p>
        </w:tc>
      </w:tr>
      <w:tr w14:paraId="74F4A6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1CE88">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664E8">
            <w:pPr>
              <w:rPr>
                <w:rFonts w:ascii="Times New Roman" w:hAnsi="Times New Roman" w:eastAsia="仿宋_GB2312" w:cs="Times New Roman"/>
                <w:color w:val="000000"/>
                <w:sz w:val="20"/>
                <w:szCs w:val="20"/>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6E98">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1F7E9">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466ED">
            <w:pPr>
              <w:rPr>
                <w:rFonts w:ascii="Times New Roman" w:hAnsi="Times New Roman" w:eastAsia="仿宋_GB2312" w:cs="Times New Roman"/>
                <w:color w:val="000000"/>
                <w:sz w:val="24"/>
                <w:szCs w:val="24"/>
                <w:highlight w:val="none"/>
              </w:rPr>
            </w:pPr>
          </w:p>
        </w:tc>
      </w:tr>
      <w:tr w14:paraId="0DE54AD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5500E">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5CCE">
            <w:pPr>
              <w:rPr>
                <w:rFonts w:ascii="Times New Roman" w:hAnsi="Times New Roman" w:eastAsia="仿宋_GB2312" w:cs="Times New Roman"/>
                <w:color w:val="000000"/>
                <w:sz w:val="24"/>
                <w:szCs w:val="24"/>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D2288">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ED63">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C88E">
            <w:pPr>
              <w:rPr>
                <w:rFonts w:ascii="Times New Roman" w:hAnsi="Times New Roman" w:eastAsia="仿宋_GB2312" w:cs="Times New Roman"/>
                <w:color w:val="000000"/>
                <w:sz w:val="24"/>
                <w:szCs w:val="24"/>
                <w:highlight w:val="none"/>
              </w:rPr>
            </w:pPr>
          </w:p>
        </w:tc>
      </w:tr>
      <w:tr w14:paraId="334A3D7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59FE">
            <w:pPr>
              <w:jc w:val="cente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F25A">
            <w:pPr>
              <w:rPr>
                <w:rFonts w:ascii="Times New Roman" w:hAnsi="Times New Roman" w:eastAsia="宋体" w:cs="Times New Roman"/>
                <w:color w:val="000000"/>
                <w:sz w:val="20"/>
                <w:szCs w:val="20"/>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D462">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E945">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8F2D">
            <w:pPr>
              <w:rPr>
                <w:rFonts w:ascii="Times New Roman" w:hAnsi="Times New Roman" w:eastAsia="宋体" w:cs="Times New Roman"/>
                <w:color w:val="000000"/>
                <w:sz w:val="24"/>
                <w:szCs w:val="24"/>
                <w:highlight w:val="none"/>
              </w:rPr>
            </w:pPr>
          </w:p>
        </w:tc>
      </w:tr>
      <w:tr w14:paraId="4992E96C">
        <w:tblPrEx>
          <w:tblCellMar>
            <w:top w:w="0" w:type="dxa"/>
            <w:left w:w="108" w:type="dxa"/>
            <w:bottom w:w="0" w:type="dxa"/>
            <w:right w:w="108" w:type="dxa"/>
          </w:tblCellMar>
        </w:tblPrEx>
        <w:trPr>
          <w:trHeight w:val="162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153CA">
            <w:pPr>
              <w:widowControl/>
              <w:jc w:val="left"/>
              <w:textAlignment w:val="center"/>
              <w:rPr>
                <w:rFonts w:ascii="Times New Roman" w:hAnsi="Times New Roman" w:eastAsia="楷体_GB2312" w:cs="Times New Roman"/>
                <w:color w:val="000000"/>
                <w:kern w:val="0"/>
                <w:sz w:val="24"/>
                <w:szCs w:val="24"/>
                <w:highlight w:val="none"/>
                <w:lang w:bidi="ar"/>
              </w:rPr>
            </w:pPr>
            <w:r>
              <w:rPr>
                <w:rFonts w:ascii="Times New Roman" w:hAnsi="Times New Roman" w:eastAsia="楷体_GB2312" w:cs="Times New Roman"/>
                <w:b/>
                <w:bCs/>
                <w:kern w:val="0"/>
                <w:sz w:val="24"/>
                <w:szCs w:val="24"/>
                <w:highlight w:val="none"/>
                <w:lang w:bidi="ar"/>
              </w:rPr>
              <w:t>说明：我单位没有使用国有资本经营预算安排的支出，故本表无数据。</w:t>
            </w:r>
          </w:p>
          <w:p w14:paraId="4169669E">
            <w:pPr>
              <w:rPr>
                <w:rFonts w:ascii="Times New Roman" w:hAnsi="Times New Roman" w:eastAsia="宋体" w:cs="Times New Roman"/>
                <w:color w:val="000000"/>
                <w:sz w:val="24"/>
                <w:szCs w:val="24"/>
                <w:highlight w:val="none"/>
              </w:rPr>
            </w:pPr>
          </w:p>
        </w:tc>
      </w:tr>
    </w:tbl>
    <w:p w14:paraId="33573F7A">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注：本表反映部门本年度国有资本经营预算财政拨款支出情况。</w:t>
      </w:r>
    </w:p>
    <w:p w14:paraId="1D975ACE">
      <w:pPr>
        <w:widowControl/>
        <w:jc w:val="left"/>
        <w:textAlignment w:val="center"/>
        <w:rPr>
          <w:rFonts w:ascii="Times New Roman" w:hAnsi="Times New Roman" w:eastAsia="宋体" w:cs="Times New Roman"/>
          <w:color w:val="000000"/>
          <w:kern w:val="0"/>
          <w:sz w:val="24"/>
          <w:szCs w:val="24"/>
          <w:highlight w:val="none"/>
          <w:lang w:bidi="ar"/>
        </w:rPr>
      </w:pPr>
    </w:p>
    <w:p w14:paraId="25115E8D">
      <w:pPr>
        <w:widowControl/>
        <w:jc w:val="center"/>
        <w:rPr>
          <w:rFonts w:ascii="Times New Roman" w:hAnsi="Times New Roman" w:eastAsia="方正小标宋_GBK" w:cs="Times New Roman"/>
          <w:color w:val="000000"/>
          <w:kern w:val="0"/>
          <w:sz w:val="36"/>
          <w:szCs w:val="36"/>
          <w:highlight w:val="none"/>
        </w:rPr>
      </w:pPr>
    </w:p>
    <w:p w14:paraId="1439F7EA">
      <w:pPr>
        <w:pStyle w:val="9"/>
        <w:spacing w:line="400" w:lineRule="exact"/>
        <w:rPr>
          <w:rFonts w:ascii="Times New Roman" w:hAnsi="Times New Roman" w:eastAsia="华文中宋" w:cs="Times New Roman"/>
          <w:color w:val="000000"/>
          <w:kern w:val="0"/>
          <w:sz w:val="32"/>
          <w:szCs w:val="32"/>
          <w:highlight w:val="none"/>
          <w:lang w:bidi="ar"/>
        </w:rPr>
      </w:pPr>
    </w:p>
    <w:p w14:paraId="77DEE450">
      <w:pPr>
        <w:autoSpaceDE w:val="0"/>
        <w:autoSpaceDN w:val="0"/>
        <w:adjustRightInd w:val="0"/>
        <w:ind w:left="315" w:leftChars="150"/>
        <w:jc w:val="left"/>
        <w:rPr>
          <w:rFonts w:ascii="Times New Roman" w:hAnsi="Times New Roman" w:eastAsia="宋体" w:cs="Times New Roman"/>
          <w:kern w:val="0"/>
          <w:sz w:val="24"/>
          <w:szCs w:val="24"/>
          <w:highlight w:val="none"/>
        </w:rPr>
      </w:pPr>
    </w:p>
    <w:p w14:paraId="486BAF43">
      <w:pPr>
        <w:widowControl/>
        <w:rPr>
          <w:rFonts w:ascii="Times New Roman" w:hAnsi="Times New Roman" w:cs="Times New Roman"/>
          <w:sz w:val="72"/>
          <w:szCs w:val="72"/>
          <w:highlight w:val="none"/>
        </w:rPr>
        <w:sectPr>
          <w:pgSz w:w="16838" w:h="11906" w:orient="landscape"/>
          <w:pgMar w:top="1134" w:right="1417" w:bottom="1134" w:left="1417" w:header="851" w:footer="992" w:gutter="0"/>
          <w:cols w:space="425" w:num="1"/>
          <w:docGrid w:type="lines" w:linePitch="312" w:charSpace="0"/>
        </w:sectPr>
      </w:pPr>
      <w:r>
        <w:rPr>
          <w:highlight w:val="none"/>
        </w:rPr>
        <w:drawing>
          <wp:inline distT="0" distB="0" distL="114300" distR="114300">
            <wp:extent cx="8882380" cy="1833245"/>
            <wp:effectExtent l="0" t="0" r="13970" b="1460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5"/>
                    <a:stretch>
                      <a:fillRect/>
                    </a:stretch>
                  </pic:blipFill>
                  <pic:spPr>
                    <a:xfrm>
                      <a:off x="0" y="0"/>
                      <a:ext cx="8882380" cy="1833245"/>
                    </a:xfrm>
                    <a:prstGeom prst="rect">
                      <a:avLst/>
                    </a:prstGeom>
                    <a:noFill/>
                    <a:ln>
                      <a:noFill/>
                    </a:ln>
                  </pic:spPr>
                </pic:pic>
              </a:graphicData>
            </a:graphic>
          </wp:inline>
        </w:drawing>
      </w:r>
    </w:p>
    <w:p w14:paraId="78560D00">
      <w:pPr>
        <w:pStyle w:val="15"/>
        <w:rPr>
          <w:rFonts w:ascii="Times New Roman" w:hAnsi="Times New Roman" w:cs="Times New Roman"/>
          <w:sz w:val="72"/>
          <w:szCs w:val="72"/>
          <w:highlight w:val="none"/>
        </w:rPr>
      </w:pPr>
    </w:p>
    <w:p w14:paraId="15C46499">
      <w:pPr>
        <w:pStyle w:val="15"/>
        <w:rPr>
          <w:rFonts w:ascii="Times New Roman" w:hAnsi="Times New Roman" w:cs="Times New Roman"/>
          <w:sz w:val="72"/>
          <w:szCs w:val="72"/>
          <w:highlight w:val="none"/>
        </w:rPr>
      </w:pPr>
    </w:p>
    <w:p w14:paraId="449337D7">
      <w:pPr>
        <w:pStyle w:val="15"/>
        <w:rPr>
          <w:rFonts w:ascii="Times New Roman" w:hAnsi="Times New Roman" w:cs="Times New Roman"/>
          <w:sz w:val="72"/>
          <w:szCs w:val="72"/>
          <w:highlight w:val="none"/>
        </w:rPr>
      </w:pPr>
    </w:p>
    <w:p w14:paraId="71708957">
      <w:pPr>
        <w:pStyle w:val="15"/>
        <w:jc w:val="center"/>
        <w:rPr>
          <w:rFonts w:ascii="Times New Roman" w:hAnsi="Times New Roman" w:cs="Times New Roman"/>
          <w:sz w:val="72"/>
          <w:szCs w:val="72"/>
          <w:highlight w:val="none"/>
        </w:rPr>
      </w:pPr>
    </w:p>
    <w:p w14:paraId="0D75B79E">
      <w:pPr>
        <w:pStyle w:val="15"/>
        <w:jc w:val="center"/>
        <w:rPr>
          <w:rFonts w:ascii="Times New Roman" w:hAnsi="Times New Roman" w:eastAsia="方正小标宋_GBK" w:cs="Times New Roman"/>
          <w:sz w:val="72"/>
          <w:szCs w:val="72"/>
          <w:highlight w:val="none"/>
        </w:rPr>
      </w:pPr>
    </w:p>
    <w:p w14:paraId="7D9E1580">
      <w:pPr>
        <w:pStyle w:val="15"/>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第三部分</w:t>
      </w:r>
    </w:p>
    <w:p w14:paraId="0FCE07E8">
      <w:pPr>
        <w:pStyle w:val="15"/>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202</w:t>
      </w:r>
      <w:r>
        <w:rPr>
          <w:rFonts w:hint="eastAsia" w:ascii="Times New Roman" w:hAnsi="Times New Roman" w:eastAsia="方正小标宋_GBK" w:cs="Times New Roman"/>
          <w:sz w:val="52"/>
          <w:szCs w:val="52"/>
          <w:highlight w:val="none"/>
          <w:lang w:val="en-US" w:eastAsia="zh-CN"/>
        </w:rPr>
        <w:t>5</w:t>
      </w:r>
      <w:r>
        <w:rPr>
          <w:rFonts w:ascii="Times New Roman" w:hAnsi="Times New Roman" w:eastAsia="方正小标宋_GBK" w:cs="Times New Roman"/>
          <w:sz w:val="52"/>
          <w:szCs w:val="52"/>
          <w:highlight w:val="none"/>
        </w:rPr>
        <w:t>年度部门决算情况说明</w:t>
      </w:r>
    </w:p>
    <w:p w14:paraId="5E344254">
      <w:pPr>
        <w:widowControl/>
        <w:jc w:val="left"/>
        <w:rPr>
          <w:rFonts w:ascii="Times New Roman" w:hAnsi="Times New Roman" w:cs="Times New Roman"/>
          <w:sz w:val="32"/>
          <w:szCs w:val="32"/>
          <w:highlight w:val="none"/>
        </w:rPr>
      </w:pPr>
      <w:r>
        <w:rPr>
          <w:rFonts w:ascii="Times New Roman" w:hAnsi="Times New Roman" w:eastAsia="方正小标宋_GBK" w:cs="Times New Roman"/>
          <w:sz w:val="70"/>
          <w:szCs w:val="70"/>
          <w:highlight w:val="none"/>
        </w:rPr>
        <w:br w:type="page"/>
      </w:r>
    </w:p>
    <w:p w14:paraId="79E55F59">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一、收入支出决算总体情况说明</w:t>
      </w:r>
    </w:p>
    <w:p w14:paraId="53A0D77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年度收、支总计</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万元。与上年相比，增加</w:t>
      </w:r>
      <w:r>
        <w:rPr>
          <w:rFonts w:hint="eastAsia" w:ascii="Times New Roman" w:hAnsi="Times New Roman" w:eastAsia="仿宋_GB2312" w:cs="Times New Roman"/>
          <w:sz w:val="32"/>
          <w:szCs w:val="32"/>
          <w:highlight w:val="none"/>
          <w:lang w:val="en-US" w:eastAsia="zh-CN"/>
        </w:rPr>
        <w:t>374.65</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13.44</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本年度追加了文旅专项以及年中下达了陈列升级改造专项经费。</w:t>
      </w:r>
    </w:p>
    <w:p w14:paraId="49189CA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文物征集、陈列升级改造等重点支出，体现在有关支出科目中。</w:t>
      </w:r>
    </w:p>
    <w:p w14:paraId="56170E87">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二、收入决算情况说明</w:t>
      </w:r>
    </w:p>
    <w:p w14:paraId="1ABC784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年度收入合计</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万元，其中：财政拨款收入</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%；上级补助收入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%；事业收入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%；附属单位上缴收入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%；其他收入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291F830B">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三、支出决算情况说明</w:t>
      </w:r>
    </w:p>
    <w:p w14:paraId="6950E684">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年度支出合计</w:t>
      </w:r>
      <w:r>
        <w:rPr>
          <w:rFonts w:hint="eastAsia" w:ascii="Times New Roman" w:hAnsi="Times New Roman" w:eastAsia="仿宋_GB2312" w:cs="Times New Roman"/>
          <w:sz w:val="32"/>
          <w:szCs w:val="32"/>
          <w:highlight w:val="none"/>
          <w:lang w:val="en-US" w:eastAsia="zh-CN"/>
        </w:rPr>
        <w:t>2731.28</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902.6</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33.05</w:t>
      </w:r>
      <w:r>
        <w:rPr>
          <w:rFonts w:ascii="Times New Roman" w:hAnsi="Times New Roman" w:eastAsia="仿宋_GB2312" w:cs="Times New Roman"/>
          <w:sz w:val="32"/>
          <w:szCs w:val="32"/>
          <w:highlight w:val="none"/>
        </w:rPr>
        <w:t>%；项目支出</w:t>
      </w:r>
      <w:r>
        <w:rPr>
          <w:rFonts w:hint="eastAsia" w:ascii="Times New Roman" w:hAnsi="Times New Roman" w:eastAsia="仿宋_GB2312" w:cs="Times New Roman"/>
          <w:sz w:val="32"/>
          <w:szCs w:val="32"/>
          <w:highlight w:val="none"/>
          <w:lang w:val="en-US" w:eastAsia="zh-CN"/>
        </w:rPr>
        <w:t>1828.68</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66.95</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0C8ADADE">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四、财政拨款收入支出决算总体情况说明</w:t>
      </w:r>
    </w:p>
    <w:p w14:paraId="049D793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年度收、支总计</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万元。与上年相比，增加</w:t>
      </w:r>
      <w:r>
        <w:rPr>
          <w:rFonts w:hint="eastAsia" w:ascii="Times New Roman" w:hAnsi="Times New Roman" w:eastAsia="仿宋_GB2312" w:cs="Times New Roman"/>
          <w:sz w:val="32"/>
          <w:szCs w:val="32"/>
          <w:highlight w:val="none"/>
          <w:lang w:val="en-US" w:eastAsia="zh-CN"/>
        </w:rPr>
        <w:t>374.65</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13.44</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本年度追加了文旅专项以及年中下达了陈列升级改造专项经费。</w:t>
      </w:r>
    </w:p>
    <w:p w14:paraId="03351E0E">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14:paraId="6417897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14:paraId="7E7D25ED">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w:t>
      </w:r>
      <w:r>
        <w:rPr>
          <w:rFonts w:hint="eastAsia" w:ascii="Times New Roman" w:hAnsi="Times New Roman" w:eastAsia="仿宋_GB2312" w:cs="Times New Roman"/>
          <w:sz w:val="32"/>
          <w:szCs w:val="32"/>
          <w:highlight w:val="none"/>
          <w:lang w:val="en-US" w:eastAsia="zh-CN"/>
        </w:rPr>
        <w:t>2731.28</w:t>
      </w:r>
      <w:r>
        <w:rPr>
          <w:rFonts w:ascii="Times New Roman" w:hAnsi="Times New Roman" w:eastAsia="仿宋_GB2312" w:cs="Times New Roman"/>
          <w:sz w:val="32"/>
          <w:szCs w:val="32"/>
          <w:highlight w:val="none"/>
        </w:rPr>
        <w:t>万元，占本年支出合计的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%，与上年相比，财政拨款支出增加</w:t>
      </w:r>
      <w:r>
        <w:rPr>
          <w:rFonts w:hint="eastAsia" w:ascii="Times New Roman" w:hAnsi="Times New Roman" w:eastAsia="仿宋_GB2312" w:cs="Times New Roman"/>
          <w:sz w:val="32"/>
          <w:szCs w:val="32"/>
          <w:highlight w:val="none"/>
          <w:lang w:val="en-US" w:eastAsia="zh-CN"/>
        </w:rPr>
        <w:t>411.83</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17.75</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项目支出增加。</w:t>
      </w:r>
      <w:r>
        <w:rPr>
          <w:rFonts w:hint="eastAsia" w:ascii="Times New Roman" w:hAnsi="Times New Roman" w:eastAsia="仿宋_GB2312" w:cs="Times New Roman"/>
          <w:sz w:val="32"/>
          <w:szCs w:val="32"/>
          <w:highlight w:val="none"/>
          <w:lang w:val="en-US" w:eastAsia="zh-CN"/>
        </w:rPr>
        <w:t>2025年新增“文物里的抗战故事——纪念中国人民抗日战争暨世界反法西斯战争胜利80周年主题展”及配套活动的支出以及陈列升级改造项目支出较2024年增加。</w:t>
      </w:r>
    </w:p>
    <w:p w14:paraId="1727827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14:paraId="52DFE5D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度财政拨款支出</w:t>
      </w:r>
      <w:r>
        <w:rPr>
          <w:rFonts w:hint="eastAsia" w:ascii="Times New Roman" w:hAnsi="Times New Roman" w:eastAsia="仿宋_GB2312" w:cs="Times New Roman"/>
          <w:sz w:val="32"/>
          <w:szCs w:val="32"/>
          <w:highlight w:val="none"/>
          <w:lang w:val="en-US" w:eastAsia="zh-CN"/>
        </w:rPr>
        <w:t>2731.28</w:t>
      </w:r>
      <w:r>
        <w:rPr>
          <w:rFonts w:ascii="Times New Roman" w:hAnsi="Times New Roman" w:eastAsia="仿宋_GB2312" w:cs="Times New Roman"/>
          <w:sz w:val="32"/>
          <w:szCs w:val="32"/>
          <w:highlight w:val="none"/>
        </w:rPr>
        <w:t>万元，主要用于以下方面：一般公共服务（类）支出</w:t>
      </w:r>
      <w:r>
        <w:rPr>
          <w:rFonts w:hint="eastAsia" w:ascii="Times New Roman" w:hAnsi="Times New Roman" w:eastAsia="仿宋_GB2312" w:cs="Times New Roman"/>
          <w:sz w:val="32"/>
          <w:szCs w:val="32"/>
          <w:highlight w:val="none"/>
          <w:lang w:val="en-US" w:eastAsia="zh-CN"/>
        </w:rPr>
        <w:t>2249.36</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82.36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科学技术支出</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0.04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 xml:space="preserve"> </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 xml:space="preserve"> </w:t>
      </w:r>
      <w:r>
        <w:rPr>
          <w:rFonts w:hint="eastAsia" w:ascii="Times New Roman" w:hAnsi="Times New Roman" w:eastAsia="仿宋_GB2312"/>
          <w:sz w:val="32"/>
          <w:szCs w:val="32"/>
          <w:highlight w:val="none"/>
        </w:rPr>
        <w:t>文化旅游体育与传媒支出</w:t>
      </w:r>
      <w:r>
        <w:rPr>
          <w:rFonts w:hint="eastAsia" w:ascii="Times New Roman" w:hAnsi="Times New Roman" w:eastAsia="仿宋_GB2312"/>
          <w:sz w:val="32"/>
          <w:szCs w:val="32"/>
          <w:highlight w:val="none"/>
          <w:lang w:val="en-US" w:eastAsia="zh-CN"/>
        </w:rPr>
        <w:t>357.22万元，占13.08%；</w:t>
      </w:r>
      <w:r>
        <w:rPr>
          <w:rFonts w:hint="eastAsia" w:ascii="Times New Roman" w:hAnsi="Times New Roman" w:eastAsia="仿宋_GB2312"/>
          <w:sz w:val="32"/>
          <w:szCs w:val="32"/>
          <w:highlight w:val="none"/>
        </w:rPr>
        <w:t>社会保障和就业支出</w:t>
      </w:r>
      <w:r>
        <w:rPr>
          <w:rFonts w:hint="eastAsia" w:ascii="Times New Roman" w:hAnsi="Times New Roman" w:eastAsia="仿宋_GB2312"/>
          <w:sz w:val="32"/>
          <w:szCs w:val="32"/>
          <w:highlight w:val="none"/>
          <w:lang w:val="en-US" w:eastAsia="zh-CN"/>
        </w:rPr>
        <w:t>50.28</w:t>
      </w:r>
      <w:r>
        <w:rPr>
          <w:rFonts w:hint="eastAsia" w:ascii="Times New Roman" w:hAnsi="Times New Roman" w:eastAsia="仿宋_GB2312"/>
          <w:sz w:val="32"/>
          <w:szCs w:val="32"/>
          <w:highlight w:val="none"/>
        </w:rPr>
        <w:t>万元，占1.</w:t>
      </w:r>
      <w:r>
        <w:rPr>
          <w:rFonts w:hint="eastAsia" w:ascii="Times New Roman" w:hAnsi="Times New Roman" w:eastAsia="仿宋_GB2312"/>
          <w:sz w:val="32"/>
          <w:szCs w:val="32"/>
          <w:highlight w:val="none"/>
          <w:lang w:val="en-US" w:eastAsia="zh-CN"/>
        </w:rPr>
        <w:t>84</w:t>
      </w:r>
      <w:r>
        <w:rPr>
          <w:rFonts w:hint="eastAsia" w:ascii="Times New Roman" w:hAnsi="Times New Roman" w:eastAsia="仿宋_GB2312"/>
          <w:sz w:val="32"/>
          <w:szCs w:val="32"/>
          <w:highlight w:val="none"/>
        </w:rPr>
        <w:t>%；卫生健康支出</w:t>
      </w:r>
      <w:r>
        <w:rPr>
          <w:rFonts w:hint="eastAsia" w:ascii="Times New Roman" w:hAnsi="Times New Roman" w:eastAsia="仿宋_GB2312"/>
          <w:sz w:val="32"/>
          <w:szCs w:val="32"/>
          <w:highlight w:val="none"/>
          <w:lang w:val="en-US" w:eastAsia="zh-CN"/>
        </w:rPr>
        <w:t>28.8</w:t>
      </w:r>
      <w:r>
        <w:rPr>
          <w:rFonts w:hint="eastAsia" w:ascii="Times New Roman" w:hAnsi="Times New Roman" w:eastAsia="仿宋_GB2312"/>
          <w:sz w:val="32"/>
          <w:szCs w:val="32"/>
          <w:highlight w:val="none"/>
        </w:rPr>
        <w:t>万元，占1.0</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%；住房保障支出</w:t>
      </w:r>
      <w:r>
        <w:rPr>
          <w:rFonts w:hint="eastAsia" w:ascii="Times New Roman" w:hAnsi="Times New Roman" w:eastAsia="仿宋_GB2312"/>
          <w:sz w:val="32"/>
          <w:szCs w:val="32"/>
          <w:highlight w:val="none"/>
          <w:lang w:val="en-US" w:eastAsia="zh-CN"/>
        </w:rPr>
        <w:t>44.62</w:t>
      </w:r>
      <w:r>
        <w:rPr>
          <w:rFonts w:hint="eastAsia" w:ascii="Times New Roman" w:hAnsi="Times New Roman" w:eastAsia="仿宋_GB2312"/>
          <w:sz w:val="32"/>
          <w:szCs w:val="32"/>
          <w:highlight w:val="none"/>
        </w:rPr>
        <w:t>万元，占1.</w:t>
      </w:r>
      <w:r>
        <w:rPr>
          <w:rFonts w:hint="eastAsia" w:ascii="Times New Roman" w:hAnsi="Times New Roman" w:eastAsia="仿宋_GB2312"/>
          <w:sz w:val="32"/>
          <w:szCs w:val="32"/>
          <w:highlight w:val="none"/>
          <w:lang w:val="en-US" w:eastAsia="zh-CN"/>
        </w:rPr>
        <w:t>63</w:t>
      </w:r>
      <w:r>
        <w:rPr>
          <w:rFonts w:hint="eastAsia" w:ascii="Times New Roman" w:hAnsi="Times New Roman" w:eastAsia="仿宋_GB2312"/>
          <w:sz w:val="32"/>
          <w:szCs w:val="32"/>
          <w:highlight w:val="none"/>
        </w:rPr>
        <w:t>%。</w:t>
      </w:r>
    </w:p>
    <w:p w14:paraId="7C355DD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14:paraId="3843ACB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2731.28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86.4</w:t>
      </w:r>
      <w:r>
        <w:rPr>
          <w:rFonts w:ascii="Times New Roman" w:hAnsi="Times New Roman" w:eastAsia="仿宋_GB2312" w:cs="Times New Roman"/>
          <w:sz w:val="32"/>
          <w:szCs w:val="32"/>
          <w:highlight w:val="none"/>
        </w:rPr>
        <w:t>%，其中：</w:t>
      </w:r>
    </w:p>
    <w:p w14:paraId="3102D364">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olor w:val="auto"/>
          <w:sz w:val="32"/>
          <w:szCs w:val="32"/>
          <w:highlight w:val="none"/>
        </w:rPr>
        <w:t>事业运行</w:t>
      </w:r>
      <w:r>
        <w:rPr>
          <w:rFonts w:ascii="Times New Roman" w:hAnsi="Times New Roman" w:eastAsia="仿宋_GB2312" w:cs="Times New Roman"/>
          <w:color w:val="auto"/>
          <w:sz w:val="32"/>
          <w:szCs w:val="32"/>
          <w:highlight w:val="none"/>
        </w:rPr>
        <w:t>（项）</w:t>
      </w:r>
      <w:r>
        <w:rPr>
          <w:rFonts w:hint="eastAsia" w:ascii="Times New Roman" w:hAnsi="Times New Roman" w:eastAsia="方正楷体_GBK" w:cs="Times New Roman"/>
          <w:color w:val="auto"/>
          <w:kern w:val="2"/>
          <w:sz w:val="32"/>
          <w:szCs w:val="32"/>
          <w:highlight w:val="none"/>
        </w:rPr>
        <w:t>（科目代码</w:t>
      </w:r>
      <w:r>
        <w:rPr>
          <w:rFonts w:hint="eastAsia" w:ascii="Times New Roman" w:hAnsi="Times New Roman" w:eastAsia="仿宋_GB2312" w:cs="Times New Roman"/>
          <w:color w:val="auto"/>
          <w:sz w:val="32"/>
          <w:szCs w:val="32"/>
          <w:highlight w:val="none"/>
        </w:rPr>
        <w:t>2013650</w:t>
      </w:r>
      <w:r>
        <w:rPr>
          <w:rFonts w:hint="eastAsia" w:ascii="Times New Roman" w:hAnsi="Times New Roman" w:eastAsia="方正楷体_GBK" w:cs="Times New Roman"/>
          <w:color w:val="auto"/>
          <w:kern w:val="2"/>
          <w:sz w:val="32"/>
          <w:szCs w:val="32"/>
          <w:highlight w:val="none"/>
        </w:rPr>
        <w:t>）</w:t>
      </w:r>
      <w:r>
        <w:rPr>
          <w:rFonts w:ascii="Times New Roman" w:hAnsi="Times New Roman" w:eastAsia="仿宋_GB2312" w:cs="Times New Roman"/>
          <w:sz w:val="32"/>
          <w:szCs w:val="32"/>
          <w:highlight w:val="none"/>
        </w:rPr>
        <w:t>。</w:t>
      </w:r>
    </w:p>
    <w:p w14:paraId="4436202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color w:val="auto"/>
          <w:sz w:val="32"/>
          <w:szCs w:val="32"/>
          <w:highlight w:val="none"/>
        </w:rPr>
        <w:t>年初预算为</w:t>
      </w:r>
      <w:r>
        <w:rPr>
          <w:rFonts w:hint="eastAsia" w:ascii="Times New Roman" w:hAnsi="Times New Roman" w:eastAsia="仿宋_GB2312" w:cs="Times New Roman"/>
          <w:color w:val="auto"/>
          <w:sz w:val="32"/>
          <w:szCs w:val="32"/>
          <w:highlight w:val="none"/>
          <w:lang w:val="en-US" w:eastAsia="zh-CN"/>
        </w:rPr>
        <w:t>677.08</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highlight w:val="none"/>
        </w:rPr>
        <w:t>支出决算为</w:t>
      </w:r>
      <w:r>
        <w:rPr>
          <w:rFonts w:hint="eastAsia" w:ascii="Times New Roman" w:hAnsi="Times New Roman" w:eastAsia="仿宋_GB2312" w:cs="Times New Roman"/>
          <w:sz w:val="32"/>
          <w:szCs w:val="32"/>
          <w:highlight w:val="none"/>
          <w:lang w:val="en-US" w:eastAsia="zh-CN"/>
        </w:rPr>
        <w:t>778.9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115.04</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大于年初</w:t>
      </w:r>
      <w:r>
        <w:rPr>
          <w:rFonts w:ascii="Times New Roman" w:hAnsi="Times New Roman" w:eastAsia="仿宋_GB2312" w:cs="Times New Roman"/>
          <w:sz w:val="32"/>
          <w:szCs w:val="32"/>
          <w:highlight w:val="none"/>
        </w:rPr>
        <w:t>预算数的主要原因是：年中追加了人员经费及调剂其他科目经费至本科目用于网络服务、维修维护等费用支出。</w:t>
      </w:r>
    </w:p>
    <w:p w14:paraId="5DDD31E5">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（项）</w:t>
      </w:r>
      <w:r>
        <w:rPr>
          <w:rFonts w:hint="eastAsia" w:ascii="Times New Roman" w:hAnsi="Times New Roman" w:eastAsia="方正楷体_GBK" w:cs="Times New Roman"/>
          <w:color w:val="auto"/>
          <w:kern w:val="2"/>
          <w:sz w:val="32"/>
          <w:szCs w:val="32"/>
          <w:highlight w:val="none"/>
        </w:rPr>
        <w:t>（科目代码</w:t>
      </w:r>
      <w:r>
        <w:rPr>
          <w:rFonts w:hint="eastAsia" w:ascii="Times New Roman" w:hAnsi="Times New Roman" w:eastAsia="仿宋_GB2312" w:cs="Times New Roman"/>
          <w:color w:val="auto"/>
          <w:sz w:val="32"/>
          <w:szCs w:val="32"/>
          <w:highlight w:val="none"/>
        </w:rPr>
        <w:t>2013699</w:t>
      </w:r>
      <w:r>
        <w:rPr>
          <w:rFonts w:hint="eastAsia" w:ascii="Times New Roman" w:hAnsi="Times New Roman" w:eastAsia="方正楷体_GBK" w:cs="Times New Roman"/>
          <w:color w:val="auto"/>
          <w:kern w:val="2"/>
          <w:sz w:val="32"/>
          <w:szCs w:val="32"/>
          <w:highlight w:val="none"/>
        </w:rPr>
        <w:t>）</w:t>
      </w:r>
      <w:r>
        <w:rPr>
          <w:rFonts w:ascii="Times New Roman" w:hAnsi="Times New Roman" w:eastAsia="仿宋_GB2312" w:cs="Times New Roman"/>
          <w:color w:val="auto"/>
          <w:sz w:val="32"/>
          <w:szCs w:val="32"/>
          <w:highlight w:val="none"/>
        </w:rPr>
        <w:t>。</w:t>
      </w:r>
    </w:p>
    <w:p w14:paraId="13C0ED4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427.14</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1445.86</w:t>
      </w:r>
      <w:r>
        <w:rPr>
          <w:rFonts w:ascii="Times New Roman" w:hAnsi="Times New Roman" w:eastAsia="仿宋_GB2312" w:cs="Times New Roman"/>
          <w:sz w:val="32"/>
          <w:szCs w:val="32"/>
          <w:highlight w:val="none"/>
        </w:rPr>
        <w:t>万元，完成</w:t>
      </w:r>
      <w:r>
        <w:rPr>
          <w:rFonts w:hint="eastAsia" w:ascii="Times New Roman" w:hAnsi="Times New Roman" w:eastAsia="仿宋_GB2312" w:cs="Times New Roman"/>
          <w:sz w:val="32"/>
          <w:szCs w:val="32"/>
          <w:highlight w:val="none"/>
          <w:lang w:eastAsia="zh-CN"/>
        </w:rPr>
        <w:t>年初</w:t>
      </w:r>
      <w:r>
        <w:rPr>
          <w:rFonts w:ascii="Times New Roman" w:hAnsi="Times New Roman" w:eastAsia="仿宋_GB2312" w:cs="Times New Roman"/>
          <w:sz w:val="32"/>
          <w:szCs w:val="32"/>
          <w:highlight w:val="none"/>
        </w:rPr>
        <w:t>预算的</w:t>
      </w:r>
      <w:r>
        <w:rPr>
          <w:rFonts w:hint="eastAsia" w:ascii="Times New Roman" w:hAnsi="Times New Roman" w:eastAsia="仿宋_GB2312" w:cs="Times New Roman"/>
          <w:sz w:val="32"/>
          <w:szCs w:val="32"/>
          <w:highlight w:val="none"/>
          <w:lang w:val="en-US" w:eastAsia="zh-CN"/>
        </w:rPr>
        <w:t>338.5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决算数大于年初预算数的主要原因是：二级单位中国共产党湖南历史展览馆年中追加了陈列升级改造项目经费和省预算内基建资金。</w:t>
      </w:r>
    </w:p>
    <w:p w14:paraId="2C72CFA6">
      <w:pPr>
        <w:pStyle w:val="15"/>
        <w:numPr>
          <w:ilvl w:val="0"/>
          <w:numId w:val="1"/>
        </w:numPr>
        <w:overflowPunct w:val="0"/>
        <w:autoSpaceDE/>
        <w:autoSpaceDN/>
        <w:spacing w:line="600" w:lineRule="exact"/>
        <w:ind w:firstLine="640" w:firstLineChars="200"/>
        <w:jc w:val="both"/>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文化旅游体育与传媒支出（类）文化和旅游（款）其他文化和旅游支出（项）</w:t>
      </w:r>
      <w:r>
        <w:rPr>
          <w:rFonts w:hint="eastAsia" w:ascii="Times New Roman" w:hAnsi="Times New Roman" w:eastAsia="方正楷体_GBK" w:cs="Times New Roman"/>
          <w:color w:val="auto"/>
          <w:kern w:val="2"/>
          <w:sz w:val="32"/>
          <w:szCs w:val="32"/>
          <w:highlight w:val="none"/>
        </w:rPr>
        <w:t>（科目代码</w:t>
      </w:r>
      <w:r>
        <w:rPr>
          <w:rFonts w:hint="eastAsia" w:ascii="Times New Roman" w:hAnsi="Times New Roman" w:eastAsia="仿宋_GB2312"/>
          <w:color w:val="auto"/>
          <w:sz w:val="32"/>
          <w:szCs w:val="32"/>
          <w:highlight w:val="none"/>
        </w:rPr>
        <w:t>2070199）。</w:t>
      </w:r>
    </w:p>
    <w:p w14:paraId="70A7C37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57.22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357.22</w:t>
      </w:r>
      <w:r>
        <w:rPr>
          <w:rFonts w:ascii="Times New Roman" w:hAnsi="Times New Roman" w:eastAsia="仿宋_GB2312" w:cs="Times New Roman"/>
          <w:sz w:val="32"/>
          <w:szCs w:val="32"/>
          <w:highlight w:val="none"/>
        </w:rPr>
        <w:t>万元，完成</w:t>
      </w:r>
      <w:r>
        <w:rPr>
          <w:rFonts w:hint="eastAsia" w:ascii="Times New Roman" w:hAnsi="Times New Roman" w:eastAsia="仿宋_GB2312" w:cs="Times New Roman"/>
          <w:sz w:val="32"/>
          <w:szCs w:val="32"/>
          <w:highlight w:val="none"/>
          <w:lang w:eastAsia="zh-CN"/>
        </w:rPr>
        <w:t>年初</w:t>
      </w:r>
      <w:r>
        <w:rPr>
          <w:rFonts w:ascii="Times New Roman" w:hAnsi="Times New Roman" w:eastAsia="仿宋_GB2312" w:cs="Times New Roman"/>
          <w:sz w:val="32"/>
          <w:szCs w:val="32"/>
          <w:highlight w:val="none"/>
        </w:rPr>
        <w:t>预算的</w:t>
      </w:r>
      <w:r>
        <w:rPr>
          <w:rFonts w:hint="eastAsia" w:ascii="Times New Roman" w:hAnsi="Times New Roman" w:eastAsia="仿宋_GB2312" w:cs="Times New Roman"/>
          <w:sz w:val="32"/>
          <w:szCs w:val="32"/>
          <w:highlight w:val="none"/>
          <w:lang w:val="en-US" w:eastAsia="zh-CN"/>
        </w:rPr>
        <w:t>624.29</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大于年初</w:t>
      </w:r>
      <w:r>
        <w:rPr>
          <w:rFonts w:ascii="Times New Roman" w:hAnsi="Times New Roman" w:eastAsia="仿宋_GB2312" w:cs="Times New Roman"/>
          <w:sz w:val="32"/>
          <w:szCs w:val="32"/>
          <w:highlight w:val="none"/>
        </w:rPr>
        <w:t>预算数</w:t>
      </w:r>
      <w:r>
        <w:rPr>
          <w:rFonts w:hint="eastAsia" w:ascii="Times New Roman" w:hAnsi="Times New Roman" w:eastAsia="仿宋_GB2312" w:cs="Times New Roman"/>
          <w:sz w:val="32"/>
          <w:szCs w:val="32"/>
          <w:highlight w:val="none"/>
          <w:lang w:eastAsia="zh-CN"/>
        </w:rPr>
        <w:t>的主要原因是：年中下达2025年省级文旅专项资金“文物里的抗战故事——纪念中国人民抗日战争暨世界反法西斯战争胜利80周年主题展”及配套活动</w:t>
      </w:r>
      <w:r>
        <w:rPr>
          <w:rFonts w:hint="eastAsia" w:ascii="Times New Roman" w:hAnsi="Times New Roman" w:eastAsia="仿宋_GB2312" w:cs="Times New Roman"/>
          <w:sz w:val="32"/>
          <w:szCs w:val="32"/>
          <w:highlight w:val="none"/>
          <w:lang w:val="en-US" w:eastAsia="zh-CN"/>
        </w:rPr>
        <w:t>300万元。</w:t>
      </w:r>
    </w:p>
    <w:p w14:paraId="088E027C">
      <w:pPr>
        <w:pStyle w:val="15"/>
        <w:numPr>
          <w:ilvl w:val="0"/>
          <w:numId w:val="1"/>
        </w:numPr>
        <w:spacing w:line="600" w:lineRule="exact"/>
        <w:ind w:left="0" w:leftChars="0" w:firstLine="640" w:firstLineChars="200"/>
        <w:rPr>
          <w:rFonts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住房保障支出（类）住房改革支出（款）住房公积金（项）</w:t>
      </w:r>
      <w:r>
        <w:rPr>
          <w:rFonts w:ascii="Times New Roman" w:hAnsi="Times New Roman" w:eastAsia="仿宋_GB2312"/>
          <w:color w:val="auto"/>
          <w:sz w:val="32"/>
          <w:szCs w:val="32"/>
          <w:highlight w:val="none"/>
        </w:rPr>
        <w:t>（科目编码2210201）。</w:t>
      </w:r>
    </w:p>
    <w:p w14:paraId="287CAE8F">
      <w:pPr>
        <w:pStyle w:val="15"/>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44.62</w:t>
      </w:r>
      <w:r>
        <w:rPr>
          <w:rFonts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44.62</w:t>
      </w:r>
      <w:r>
        <w:rPr>
          <w:rFonts w:ascii="Times New Roman" w:hAnsi="Times New Roman" w:eastAsia="仿宋_GB2312"/>
          <w:color w:val="auto"/>
          <w:sz w:val="32"/>
          <w:szCs w:val="32"/>
          <w:highlight w:val="none"/>
        </w:rPr>
        <w:t>万元，完成年初预算的100%，决算数等于年初预算数。</w:t>
      </w:r>
    </w:p>
    <w:p w14:paraId="3D273791">
      <w:pPr>
        <w:pStyle w:val="15"/>
        <w:numPr>
          <w:ilvl w:val="0"/>
          <w:numId w:val="1"/>
        </w:numPr>
        <w:spacing w:line="600" w:lineRule="exact"/>
        <w:ind w:left="0" w:leftChars="0"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卫生健康支出（类）行政事业单位医疗（款）</w:t>
      </w:r>
      <w:r>
        <w:rPr>
          <w:rFonts w:hint="eastAsia" w:ascii="Times New Roman" w:hAnsi="Times New Roman" w:eastAsia="仿宋_GB2312"/>
          <w:color w:val="auto"/>
          <w:sz w:val="32"/>
          <w:szCs w:val="32"/>
          <w:highlight w:val="none"/>
        </w:rPr>
        <w:t>事业单位</w:t>
      </w:r>
      <w:r>
        <w:rPr>
          <w:rFonts w:ascii="Times New Roman" w:hAnsi="Times New Roman" w:eastAsia="仿宋_GB2312"/>
          <w:color w:val="auto"/>
          <w:sz w:val="32"/>
          <w:szCs w:val="32"/>
          <w:highlight w:val="none"/>
        </w:rPr>
        <w:t>医疗（项）（科目编码210110</w:t>
      </w:r>
      <w:r>
        <w:rPr>
          <w:rFonts w:hint="eastAsia" w:ascii="Times New Roman" w:hAnsi="Times New Roman" w:eastAsia="仿宋_GB2312"/>
          <w:color w:val="auto"/>
          <w:sz w:val="32"/>
          <w:szCs w:val="32"/>
          <w:highlight w:val="none"/>
        </w:rPr>
        <w:t>2</w:t>
      </w:r>
      <w:r>
        <w:rPr>
          <w:rFonts w:ascii="Times New Roman" w:hAnsi="Times New Roman" w:eastAsia="仿宋_GB2312"/>
          <w:color w:val="auto"/>
          <w:sz w:val="32"/>
          <w:szCs w:val="32"/>
          <w:highlight w:val="none"/>
        </w:rPr>
        <w:t>）。</w:t>
      </w:r>
    </w:p>
    <w:p w14:paraId="016E4E16">
      <w:pPr>
        <w:pStyle w:val="15"/>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28.8</w:t>
      </w:r>
      <w:r>
        <w:rPr>
          <w:rFonts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28.8</w:t>
      </w:r>
      <w:r>
        <w:rPr>
          <w:rFonts w:ascii="Times New Roman" w:hAnsi="Times New Roman" w:eastAsia="仿宋_GB2312"/>
          <w:color w:val="auto"/>
          <w:sz w:val="32"/>
          <w:szCs w:val="32"/>
          <w:highlight w:val="none"/>
        </w:rPr>
        <w:t>万元，完成年初预算的100%，决算数等于年初预算数。</w:t>
      </w:r>
    </w:p>
    <w:p w14:paraId="4CCB18E7">
      <w:pPr>
        <w:pStyle w:val="15"/>
        <w:numPr>
          <w:ilvl w:val="0"/>
          <w:numId w:val="1"/>
        </w:numPr>
        <w:spacing w:line="600" w:lineRule="exact"/>
        <w:ind w:left="0" w:leftChars="0"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kern w:val="2"/>
          <w:sz w:val="32"/>
          <w:szCs w:val="32"/>
          <w:highlight w:val="none"/>
        </w:rPr>
        <w:t>社会保障和就业支出（类）其他社会保障和就业支出（款）其他社会保障和就业支出（项）（科目编码2089999）</w:t>
      </w:r>
      <w:r>
        <w:rPr>
          <w:rFonts w:ascii="Times New Roman" w:hAnsi="Times New Roman" w:eastAsia="仿宋_GB2312"/>
          <w:color w:val="auto"/>
          <w:sz w:val="32"/>
          <w:szCs w:val="32"/>
          <w:highlight w:val="none"/>
        </w:rPr>
        <w:t>。</w:t>
      </w:r>
    </w:p>
    <w:p w14:paraId="04E3A02C">
      <w:pPr>
        <w:pStyle w:val="15"/>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4.68</w:t>
      </w:r>
      <w:r>
        <w:rPr>
          <w:rFonts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4.68</w:t>
      </w:r>
      <w:r>
        <w:rPr>
          <w:rFonts w:ascii="Times New Roman" w:hAnsi="Times New Roman" w:eastAsia="仿宋_GB2312"/>
          <w:color w:val="auto"/>
          <w:sz w:val="32"/>
          <w:szCs w:val="32"/>
          <w:highlight w:val="none"/>
        </w:rPr>
        <w:t>万元，完成年初预算的100%，决算数等于年初预算数。</w:t>
      </w:r>
    </w:p>
    <w:p w14:paraId="453EB932">
      <w:pPr>
        <w:pStyle w:val="15"/>
        <w:numPr>
          <w:ilvl w:val="0"/>
          <w:numId w:val="1"/>
        </w:numPr>
        <w:spacing w:line="600" w:lineRule="exact"/>
        <w:ind w:left="0" w:leftChars="0" w:firstLine="640" w:firstLineChars="200"/>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kern w:val="2"/>
          <w:sz w:val="32"/>
          <w:szCs w:val="32"/>
          <w:highlight w:val="none"/>
          <w:lang w:eastAsia="zh-CN"/>
        </w:rPr>
        <w:t>科学技术支出</w:t>
      </w:r>
      <w:r>
        <w:rPr>
          <w:rFonts w:ascii="Times New Roman" w:hAnsi="Times New Roman" w:eastAsia="仿宋_GB2312"/>
          <w:color w:val="auto"/>
          <w:kern w:val="2"/>
          <w:sz w:val="32"/>
          <w:szCs w:val="32"/>
          <w:highlight w:val="none"/>
        </w:rPr>
        <w:t>（类）</w:t>
      </w:r>
      <w:r>
        <w:rPr>
          <w:rFonts w:hint="eastAsia" w:ascii="Times New Roman" w:hAnsi="Times New Roman" w:eastAsia="仿宋_GB2312"/>
          <w:color w:val="auto"/>
          <w:kern w:val="2"/>
          <w:sz w:val="32"/>
          <w:szCs w:val="32"/>
          <w:highlight w:val="none"/>
          <w:lang w:eastAsia="zh-CN"/>
        </w:rPr>
        <w:t>社会科学</w:t>
      </w:r>
      <w:r>
        <w:rPr>
          <w:rFonts w:ascii="Times New Roman" w:hAnsi="Times New Roman" w:eastAsia="仿宋_GB2312"/>
          <w:color w:val="auto"/>
          <w:kern w:val="2"/>
          <w:sz w:val="32"/>
          <w:szCs w:val="32"/>
          <w:highlight w:val="none"/>
        </w:rPr>
        <w:t>（款）</w:t>
      </w:r>
      <w:r>
        <w:rPr>
          <w:rFonts w:hint="eastAsia" w:ascii="Times New Roman" w:hAnsi="Times New Roman" w:eastAsia="仿宋_GB2312"/>
          <w:color w:val="auto"/>
          <w:kern w:val="2"/>
          <w:sz w:val="32"/>
          <w:szCs w:val="32"/>
          <w:highlight w:val="none"/>
          <w:lang w:eastAsia="zh-CN"/>
        </w:rPr>
        <w:t>社会科学研究</w:t>
      </w:r>
      <w:r>
        <w:rPr>
          <w:rFonts w:ascii="Times New Roman" w:hAnsi="Times New Roman" w:eastAsia="仿宋_GB2312"/>
          <w:color w:val="auto"/>
          <w:kern w:val="2"/>
          <w:sz w:val="32"/>
          <w:szCs w:val="32"/>
          <w:highlight w:val="none"/>
        </w:rPr>
        <w:t>（项）（科目编码</w:t>
      </w:r>
      <w:r>
        <w:rPr>
          <w:rFonts w:hint="eastAsia" w:ascii="Times New Roman" w:hAnsi="Times New Roman" w:eastAsia="仿宋_GB2312"/>
          <w:color w:val="auto"/>
          <w:kern w:val="2"/>
          <w:sz w:val="32"/>
          <w:szCs w:val="32"/>
          <w:highlight w:val="none"/>
          <w:lang w:val="en-US" w:eastAsia="zh-CN"/>
        </w:rPr>
        <w:t>2060602</w:t>
      </w:r>
      <w:r>
        <w:rPr>
          <w:rFonts w:ascii="Times New Roman" w:hAnsi="Times New Roman" w:eastAsia="仿宋_GB2312"/>
          <w:color w:val="auto"/>
          <w:kern w:val="2"/>
          <w:sz w:val="32"/>
          <w:szCs w:val="32"/>
          <w:highlight w:val="none"/>
        </w:rPr>
        <w:t>）</w:t>
      </w:r>
      <w:r>
        <w:rPr>
          <w:rFonts w:ascii="Times New Roman" w:hAnsi="Times New Roman" w:eastAsia="仿宋_GB2312"/>
          <w:color w:val="auto"/>
          <w:sz w:val="32"/>
          <w:szCs w:val="32"/>
          <w:highlight w:val="none"/>
        </w:rPr>
        <w:t>。</w:t>
      </w:r>
    </w:p>
    <w:p w14:paraId="7E95ACAB">
      <w:pPr>
        <w:pStyle w:val="15"/>
        <w:spacing w:line="600" w:lineRule="exact"/>
        <w:ind w:firstLine="640" w:firstLineChars="200"/>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0</w:t>
      </w:r>
      <w:r>
        <w:rPr>
          <w:rFonts w:ascii="Times New Roman" w:hAnsi="Times New Roman" w:eastAsia="仿宋_GB2312"/>
          <w:color w:val="auto"/>
          <w:sz w:val="32"/>
          <w:szCs w:val="32"/>
          <w:highlight w:val="none"/>
        </w:rPr>
        <w:t>万元，支出决算为1.00万元，因年初预算数为0，无法计算完成年初预算的百分比，决算数大于年初预算数的主要原因是：</w:t>
      </w:r>
      <w:r>
        <w:rPr>
          <w:rFonts w:hint="eastAsia" w:ascii="Times New Roman" w:hAnsi="Times New Roman" w:eastAsia="仿宋_GB2312"/>
          <w:color w:val="auto"/>
          <w:sz w:val="32"/>
          <w:szCs w:val="32"/>
          <w:highlight w:val="none"/>
          <w:lang w:eastAsia="zh-CN"/>
        </w:rPr>
        <w:t>年中追加陈艳 “稻浪长歌”沉浸式党史剧目思政课</w:t>
      </w:r>
      <w:r>
        <w:rPr>
          <w:rFonts w:hint="eastAsia" w:ascii="Times New Roman" w:hAnsi="Times New Roman" w:eastAsia="仿宋_GB2312"/>
          <w:color w:val="auto"/>
          <w:sz w:val="32"/>
          <w:szCs w:val="32"/>
          <w:highlight w:val="none"/>
          <w:lang w:val="en-US" w:eastAsia="zh-CN"/>
        </w:rPr>
        <w:t>1万元</w:t>
      </w:r>
      <w:r>
        <w:rPr>
          <w:rFonts w:ascii="Times New Roman" w:hAnsi="Times New Roman" w:eastAsia="仿宋_GB2312"/>
          <w:color w:val="auto"/>
          <w:sz w:val="32"/>
          <w:szCs w:val="32"/>
          <w:highlight w:val="none"/>
        </w:rPr>
        <w:t>。</w:t>
      </w:r>
    </w:p>
    <w:p w14:paraId="1B5E9EC8">
      <w:pPr>
        <w:pStyle w:val="2"/>
        <w:spacing w:before="56" w:line="340" w:lineRule="auto"/>
        <w:ind w:left="15" w:right="156" w:firstLine="799"/>
        <w:rPr>
          <w:rFonts w:ascii="FangSong_GB2312" w:hAnsi="FangSong_GB2312" w:eastAsia="FangSong_GB2312" w:cs="FangSong_GB2312"/>
          <w:sz w:val="31"/>
          <w:szCs w:val="31"/>
          <w:highlight w:val="none"/>
          <w:lang w:eastAsia="zh-CN"/>
        </w:rPr>
      </w:pPr>
      <w:r>
        <w:rPr>
          <w:rFonts w:hint="eastAsia" w:ascii="Times New Roman" w:hAnsi="Times New Roman" w:eastAsia="仿宋_GB2312" w:cs="黑体"/>
          <w:sz w:val="32"/>
          <w:szCs w:val="32"/>
          <w:highlight w:val="none"/>
          <w:lang w:val="en-US" w:eastAsia="zh-CN"/>
        </w:rPr>
        <w:t>8、</w:t>
      </w:r>
      <w:r>
        <w:rPr>
          <w:rFonts w:ascii="Times New Roman" w:hAnsi="Times New Roman" w:eastAsia="仿宋_GB2312" w:cs="黑体"/>
          <w:sz w:val="32"/>
          <w:szCs w:val="32"/>
          <w:highlight w:val="none"/>
          <w:lang w:eastAsia="zh-CN"/>
        </w:rPr>
        <w:t>社会保障和就业支出（类）行政事业单位养老支出（款）机关事业单位基本养老保险缴费支出（项）（科目编码2080505）。</w:t>
      </w:r>
    </w:p>
    <w:p w14:paraId="143785F5">
      <w:pPr>
        <w:pStyle w:val="2"/>
        <w:spacing w:before="56" w:line="341" w:lineRule="auto"/>
        <w:ind w:left="30" w:right="221" w:firstLine="780"/>
        <w:rPr>
          <w:rFonts w:ascii="Times New Roman" w:hAnsi="Times New Roman" w:eastAsia="仿宋_GB2312" w:cs="黑体"/>
          <w:sz w:val="32"/>
          <w:szCs w:val="32"/>
          <w:highlight w:val="none"/>
          <w:lang w:eastAsia="zh-CN"/>
        </w:rPr>
      </w:pPr>
      <w:r>
        <w:rPr>
          <w:rFonts w:ascii="FangSong_GB2312" w:hAnsi="FangSong_GB2312" w:eastAsia="FangSong_GB2312" w:cs="FangSong_GB2312"/>
          <w:spacing w:val="14"/>
          <w:sz w:val="31"/>
          <w:szCs w:val="31"/>
          <w:highlight w:val="none"/>
          <w:lang w:eastAsia="zh-CN"/>
        </w:rPr>
        <w:t>年</w:t>
      </w:r>
      <w:r>
        <w:rPr>
          <w:rFonts w:ascii="Times New Roman" w:hAnsi="Times New Roman" w:eastAsia="仿宋_GB2312" w:cs="黑体"/>
          <w:sz w:val="32"/>
          <w:szCs w:val="32"/>
          <w:highlight w:val="none"/>
          <w:lang w:eastAsia="zh-CN"/>
        </w:rPr>
        <w:t>初预算为</w:t>
      </w:r>
      <w:r>
        <w:rPr>
          <w:rFonts w:hint="eastAsia" w:ascii="Times New Roman" w:hAnsi="Times New Roman" w:eastAsia="仿宋_GB2312" w:cs="黑体"/>
          <w:sz w:val="32"/>
          <w:szCs w:val="32"/>
          <w:highlight w:val="none"/>
          <w:lang w:val="en-US" w:eastAsia="zh-CN"/>
        </w:rPr>
        <w:t>45.6</w:t>
      </w:r>
      <w:r>
        <w:rPr>
          <w:rFonts w:ascii="Times New Roman" w:hAnsi="Times New Roman" w:eastAsia="仿宋_GB2312" w:cs="黑体"/>
          <w:sz w:val="32"/>
          <w:szCs w:val="32"/>
          <w:highlight w:val="none"/>
          <w:lang w:eastAsia="zh-CN"/>
        </w:rPr>
        <w:t>万元，支出决算为</w:t>
      </w:r>
      <w:r>
        <w:rPr>
          <w:rFonts w:hint="eastAsia" w:ascii="Times New Roman" w:hAnsi="Times New Roman" w:eastAsia="仿宋_GB2312" w:cs="黑体"/>
          <w:sz w:val="32"/>
          <w:szCs w:val="32"/>
          <w:highlight w:val="none"/>
          <w:lang w:val="en-US" w:eastAsia="zh-CN"/>
        </w:rPr>
        <w:t>45.6</w:t>
      </w:r>
      <w:r>
        <w:rPr>
          <w:rFonts w:ascii="Times New Roman" w:hAnsi="Times New Roman" w:eastAsia="仿宋_GB2312" w:cs="黑体"/>
          <w:sz w:val="32"/>
          <w:szCs w:val="32"/>
          <w:highlight w:val="none"/>
          <w:lang w:eastAsia="zh-CN"/>
        </w:rPr>
        <w:t>万元，完成年初预算的100%，决算数等于年初预算数。</w:t>
      </w:r>
    </w:p>
    <w:p w14:paraId="717128A5">
      <w:pPr>
        <w:pStyle w:val="2"/>
        <w:spacing w:before="56" w:line="341" w:lineRule="auto"/>
        <w:ind w:left="30" w:right="221" w:firstLine="780"/>
        <w:rPr>
          <w:rFonts w:ascii="Times New Roman" w:hAnsi="Times New Roman" w:eastAsia="仿宋_GB2312" w:cs="黑体"/>
          <w:sz w:val="32"/>
          <w:szCs w:val="32"/>
          <w:highlight w:val="none"/>
          <w:lang w:eastAsia="zh-CN"/>
        </w:rPr>
      </w:pPr>
      <w:r>
        <w:rPr>
          <w:rFonts w:hint="eastAsia" w:ascii="Times New Roman" w:hAnsi="Times New Roman" w:eastAsia="仿宋_GB2312" w:cs="黑体"/>
          <w:sz w:val="32"/>
          <w:szCs w:val="32"/>
          <w:highlight w:val="none"/>
          <w:lang w:val="en-US" w:eastAsia="zh-CN"/>
        </w:rPr>
        <w:t>9、</w:t>
      </w:r>
      <w:r>
        <w:rPr>
          <w:rFonts w:hint="eastAsia" w:ascii="Times New Roman" w:hAnsi="Times New Roman" w:eastAsia="仿宋_GB2312" w:cs="黑体"/>
          <w:sz w:val="32"/>
          <w:szCs w:val="32"/>
          <w:highlight w:val="none"/>
          <w:lang w:eastAsia="zh-CN"/>
        </w:rPr>
        <w:t>一般公共服务支出</w:t>
      </w:r>
      <w:r>
        <w:rPr>
          <w:rFonts w:ascii="Times New Roman" w:hAnsi="Times New Roman" w:eastAsia="仿宋_GB2312" w:cs="黑体"/>
          <w:sz w:val="32"/>
          <w:szCs w:val="32"/>
          <w:highlight w:val="none"/>
          <w:lang w:eastAsia="zh-CN"/>
        </w:rPr>
        <w:t>（类）</w:t>
      </w:r>
      <w:r>
        <w:rPr>
          <w:rFonts w:hint="eastAsia" w:ascii="Times New Roman" w:hAnsi="Times New Roman" w:eastAsia="仿宋_GB2312" w:cs="黑体"/>
          <w:sz w:val="32"/>
          <w:szCs w:val="32"/>
          <w:highlight w:val="none"/>
          <w:lang w:eastAsia="zh-CN"/>
        </w:rPr>
        <w:t>其他共产党事务支出</w:t>
      </w:r>
      <w:r>
        <w:rPr>
          <w:rFonts w:ascii="Times New Roman" w:hAnsi="Times New Roman" w:eastAsia="仿宋_GB2312" w:cs="黑体"/>
          <w:sz w:val="32"/>
          <w:szCs w:val="32"/>
          <w:highlight w:val="none"/>
          <w:lang w:eastAsia="zh-CN"/>
        </w:rPr>
        <w:t>（款）</w:t>
      </w:r>
      <w:r>
        <w:rPr>
          <w:rFonts w:hint="eastAsia" w:ascii="Times New Roman" w:hAnsi="Times New Roman" w:eastAsia="仿宋_GB2312" w:cs="黑体"/>
          <w:sz w:val="32"/>
          <w:szCs w:val="32"/>
          <w:highlight w:val="none"/>
          <w:lang w:eastAsia="zh-CN"/>
        </w:rPr>
        <w:t>一般行政管理事务</w:t>
      </w:r>
      <w:r>
        <w:rPr>
          <w:rFonts w:ascii="Times New Roman" w:hAnsi="Times New Roman" w:eastAsia="仿宋_GB2312" w:cs="黑体"/>
          <w:sz w:val="32"/>
          <w:szCs w:val="32"/>
          <w:highlight w:val="none"/>
          <w:lang w:eastAsia="zh-CN"/>
        </w:rPr>
        <w:t>（项）（科目编码</w:t>
      </w:r>
      <w:r>
        <w:rPr>
          <w:rFonts w:hint="eastAsia" w:ascii="Times New Roman" w:hAnsi="Times New Roman" w:eastAsia="仿宋_GB2312" w:cs="黑体"/>
          <w:sz w:val="32"/>
          <w:szCs w:val="32"/>
          <w:highlight w:val="none"/>
          <w:lang w:val="en-US" w:eastAsia="zh-CN"/>
        </w:rPr>
        <w:t>2013602</w:t>
      </w:r>
      <w:r>
        <w:rPr>
          <w:rFonts w:ascii="Times New Roman" w:hAnsi="Times New Roman" w:eastAsia="仿宋_GB2312" w:cs="黑体"/>
          <w:sz w:val="32"/>
          <w:szCs w:val="32"/>
          <w:highlight w:val="none"/>
          <w:lang w:eastAsia="zh-CN"/>
        </w:rPr>
        <w:t>）。</w:t>
      </w:r>
    </w:p>
    <w:p w14:paraId="38B8E95C">
      <w:pPr>
        <w:pStyle w:val="2"/>
        <w:spacing w:before="56" w:line="341" w:lineRule="auto"/>
        <w:ind w:left="30" w:right="221" w:firstLine="780"/>
        <w:rPr>
          <w:rFonts w:hint="eastAsia" w:ascii="Times New Roman" w:hAnsi="Times New Roman" w:eastAsia="仿宋_GB2312" w:cs="Times New Roman"/>
          <w:sz w:val="32"/>
          <w:szCs w:val="32"/>
          <w:highlight w:val="none"/>
          <w:lang w:eastAsia="zh-CN"/>
        </w:rPr>
      </w:pPr>
      <w:r>
        <w:rPr>
          <w:rFonts w:ascii="FangSong_GB2312" w:hAnsi="FangSong_GB2312" w:eastAsia="FangSong_GB2312" w:cs="FangSong_GB2312"/>
          <w:spacing w:val="14"/>
          <w:sz w:val="31"/>
          <w:szCs w:val="31"/>
          <w:highlight w:val="none"/>
          <w:lang w:eastAsia="zh-CN"/>
        </w:rPr>
        <w:t>年</w:t>
      </w:r>
      <w:r>
        <w:rPr>
          <w:rFonts w:ascii="Times New Roman" w:hAnsi="Times New Roman" w:eastAsia="仿宋_GB2312" w:cs="黑体"/>
          <w:sz w:val="32"/>
          <w:szCs w:val="32"/>
          <w:highlight w:val="none"/>
          <w:lang w:eastAsia="zh-CN"/>
        </w:rPr>
        <w:t>初预算为</w:t>
      </w:r>
      <w:r>
        <w:rPr>
          <w:rFonts w:hint="eastAsia" w:ascii="Times New Roman" w:hAnsi="Times New Roman" w:eastAsia="仿宋_GB2312" w:cs="黑体"/>
          <w:sz w:val="32"/>
          <w:szCs w:val="32"/>
          <w:highlight w:val="none"/>
          <w:lang w:val="en-US" w:eastAsia="zh-CN"/>
        </w:rPr>
        <w:t>0</w:t>
      </w:r>
      <w:r>
        <w:rPr>
          <w:rFonts w:ascii="Times New Roman" w:hAnsi="Times New Roman" w:eastAsia="仿宋_GB2312" w:cs="黑体"/>
          <w:sz w:val="32"/>
          <w:szCs w:val="32"/>
          <w:highlight w:val="none"/>
          <w:lang w:eastAsia="zh-CN"/>
        </w:rPr>
        <w:t>万元，支出决算为</w:t>
      </w:r>
      <w:r>
        <w:rPr>
          <w:rFonts w:hint="eastAsia" w:ascii="Times New Roman" w:hAnsi="Times New Roman" w:eastAsia="仿宋_GB2312" w:cs="黑体"/>
          <w:sz w:val="32"/>
          <w:szCs w:val="32"/>
          <w:highlight w:val="none"/>
          <w:lang w:val="en-US" w:eastAsia="zh-CN"/>
        </w:rPr>
        <w:t>24.6</w:t>
      </w:r>
      <w:r>
        <w:rPr>
          <w:rFonts w:ascii="Times New Roman" w:hAnsi="Times New Roman" w:eastAsia="仿宋_GB2312" w:cs="黑体"/>
          <w:sz w:val="32"/>
          <w:szCs w:val="32"/>
          <w:highlight w:val="none"/>
          <w:lang w:eastAsia="zh-CN"/>
        </w:rPr>
        <w:t>万元，</w:t>
      </w:r>
      <w:r>
        <w:rPr>
          <w:rFonts w:ascii="Times New Roman" w:hAnsi="Times New Roman" w:eastAsia="仿宋_GB2312"/>
          <w:color w:val="auto"/>
          <w:sz w:val="32"/>
          <w:szCs w:val="32"/>
          <w:highlight w:val="none"/>
        </w:rPr>
        <w:t>因年初预算数为0，无法计算完成年初预算的百分比，</w:t>
      </w:r>
      <w:r>
        <w:rPr>
          <w:rFonts w:ascii="Times New Roman" w:hAnsi="Times New Roman" w:eastAsia="仿宋_GB2312" w:cs="黑体"/>
          <w:sz w:val="32"/>
          <w:szCs w:val="32"/>
          <w:highlight w:val="none"/>
          <w:lang w:eastAsia="zh-CN"/>
        </w:rPr>
        <w:t>决算数</w:t>
      </w:r>
      <w:r>
        <w:rPr>
          <w:rFonts w:hint="eastAsia" w:ascii="Times New Roman" w:hAnsi="Times New Roman" w:eastAsia="仿宋_GB2312" w:cs="黑体"/>
          <w:sz w:val="32"/>
          <w:szCs w:val="32"/>
          <w:highlight w:val="none"/>
          <w:lang w:eastAsia="zh-CN"/>
        </w:rPr>
        <w:t>大于</w:t>
      </w:r>
      <w:r>
        <w:rPr>
          <w:rFonts w:ascii="Times New Roman" w:hAnsi="Times New Roman" w:eastAsia="仿宋_GB2312" w:cs="黑体"/>
          <w:sz w:val="32"/>
          <w:szCs w:val="32"/>
          <w:highlight w:val="none"/>
          <w:lang w:eastAsia="zh-CN"/>
        </w:rPr>
        <w:t>年初预算数</w:t>
      </w:r>
      <w:r>
        <w:rPr>
          <w:rFonts w:hint="eastAsia" w:ascii="Times New Roman" w:hAnsi="Times New Roman" w:eastAsia="仿宋_GB2312" w:cs="黑体"/>
          <w:sz w:val="32"/>
          <w:szCs w:val="32"/>
          <w:highlight w:val="none"/>
          <w:lang w:eastAsia="zh-CN"/>
        </w:rPr>
        <w:t>的主要原因是：年中追加党史陈列馆维修经费</w:t>
      </w:r>
      <w:r>
        <w:rPr>
          <w:rFonts w:hint="eastAsia" w:ascii="Times New Roman" w:hAnsi="Times New Roman" w:eastAsia="仿宋_GB2312" w:cs="黑体"/>
          <w:sz w:val="32"/>
          <w:szCs w:val="32"/>
          <w:highlight w:val="none"/>
          <w:lang w:val="en-US" w:eastAsia="zh-CN"/>
        </w:rPr>
        <w:t>30万元，</w:t>
      </w:r>
    </w:p>
    <w:p w14:paraId="083495B0">
      <w:pPr>
        <w:pStyle w:val="15"/>
        <w:overflowPunct w:val="0"/>
        <w:autoSpaceDE/>
        <w:autoSpaceDN/>
        <w:spacing w:line="600" w:lineRule="exact"/>
        <w:ind w:firstLine="640" w:firstLineChars="200"/>
        <w:jc w:val="both"/>
        <w:rPr>
          <w:rFonts w:hint="eastAsia" w:ascii="Times New Roman" w:hAnsi="Times New Roman" w:eastAsia="仿宋_GB2312" w:cs="黑体"/>
          <w:color w:val="auto"/>
          <w:kern w:val="2"/>
          <w:sz w:val="32"/>
          <w:szCs w:val="32"/>
          <w:highlight w:val="none"/>
          <w:lang w:val="en-US" w:eastAsia="zh-CN" w:bidi="ar-SA"/>
        </w:rPr>
      </w:pPr>
      <w:r>
        <w:rPr>
          <w:rFonts w:hint="eastAsia" w:ascii="Times New Roman" w:hAnsi="Times New Roman" w:eastAsia="仿宋_GB2312" w:cs="黑体"/>
          <w:color w:val="auto"/>
          <w:kern w:val="2"/>
          <w:sz w:val="32"/>
          <w:szCs w:val="32"/>
          <w:highlight w:val="none"/>
          <w:lang w:val="en-US" w:eastAsia="zh-CN" w:bidi="ar-SA"/>
        </w:rPr>
        <w:t>按照支出功能分类，一般公共服务支出方面的支出规模较大，主要是：1.</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（项）</w:t>
      </w:r>
      <w:r>
        <w:rPr>
          <w:rFonts w:hint="eastAsia" w:ascii="Times New Roman" w:hAnsi="Times New Roman" w:eastAsia="方正楷体_GBK" w:cs="Times New Roman"/>
          <w:color w:val="auto"/>
          <w:kern w:val="2"/>
          <w:sz w:val="32"/>
          <w:szCs w:val="32"/>
          <w:highlight w:val="none"/>
        </w:rPr>
        <w:t>（科目代码</w:t>
      </w:r>
      <w:r>
        <w:rPr>
          <w:rFonts w:hint="eastAsia" w:ascii="Times New Roman" w:hAnsi="Times New Roman" w:eastAsia="仿宋_GB2312" w:cs="Times New Roman"/>
          <w:color w:val="auto"/>
          <w:sz w:val="32"/>
          <w:szCs w:val="32"/>
          <w:highlight w:val="none"/>
        </w:rPr>
        <w:t>2013699</w:t>
      </w:r>
      <w:r>
        <w:rPr>
          <w:rFonts w:hint="eastAsia" w:ascii="Times New Roman" w:hAnsi="Times New Roman" w:eastAsia="方正楷体_GBK" w:cs="Times New Roman"/>
          <w:color w:val="auto"/>
          <w:kern w:val="2"/>
          <w:sz w:val="32"/>
          <w:szCs w:val="32"/>
          <w:highlight w:val="none"/>
        </w:rPr>
        <w:t>）</w:t>
      </w:r>
      <w:r>
        <w:rPr>
          <w:rFonts w:hint="eastAsia" w:ascii="Times New Roman" w:hAnsi="Times New Roman" w:eastAsia="仿宋_GB2312" w:cs="黑体"/>
          <w:color w:val="auto"/>
          <w:kern w:val="2"/>
          <w:sz w:val="32"/>
          <w:szCs w:val="32"/>
          <w:highlight w:val="none"/>
          <w:lang w:val="en-US" w:eastAsia="zh-CN" w:bidi="ar-SA"/>
        </w:rPr>
        <w:t>，2025年度决算数为1445.86万元，占财政拨款支出总额的52.94%，主要用于馆内陈列升级改造及省级预算内基建资金的支出；2.</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olor w:val="auto"/>
          <w:sz w:val="32"/>
          <w:szCs w:val="32"/>
          <w:highlight w:val="none"/>
        </w:rPr>
        <w:t>其他共产党事务支出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olor w:val="auto"/>
          <w:sz w:val="32"/>
          <w:szCs w:val="32"/>
          <w:highlight w:val="none"/>
        </w:rPr>
        <w:t>事业运行</w:t>
      </w:r>
      <w:r>
        <w:rPr>
          <w:rFonts w:ascii="Times New Roman" w:hAnsi="Times New Roman" w:eastAsia="仿宋_GB2312" w:cs="Times New Roman"/>
          <w:color w:val="auto"/>
          <w:sz w:val="32"/>
          <w:szCs w:val="32"/>
          <w:highlight w:val="none"/>
        </w:rPr>
        <w:t>（项）</w:t>
      </w:r>
      <w:r>
        <w:rPr>
          <w:rFonts w:hint="eastAsia" w:ascii="Times New Roman" w:hAnsi="Times New Roman" w:eastAsia="仿宋_GB2312" w:cs="黑体"/>
          <w:color w:val="auto"/>
          <w:kern w:val="2"/>
          <w:sz w:val="32"/>
          <w:szCs w:val="32"/>
          <w:highlight w:val="none"/>
          <w:lang w:val="en-US" w:eastAsia="zh-CN" w:bidi="ar-SA"/>
        </w:rPr>
        <w:t>，2025年度决算数为778.9万元，占财政拨款支出总额的28.52%，主要用于人员经费、日常公用经费等方面的支出。</w:t>
      </w:r>
    </w:p>
    <w:p w14:paraId="7453D0D9">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14:paraId="66053346">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年度一般公共预算财政拨款基本支出</w:t>
      </w:r>
      <w:r>
        <w:rPr>
          <w:rFonts w:hint="eastAsia" w:ascii="Times New Roman" w:hAnsi="Times New Roman" w:eastAsia="仿宋_GB2312" w:cs="Times New Roman"/>
          <w:sz w:val="32"/>
          <w:szCs w:val="32"/>
          <w:highlight w:val="none"/>
          <w:lang w:val="en-US" w:eastAsia="zh-CN"/>
        </w:rPr>
        <w:t>902.6</w:t>
      </w:r>
      <w:r>
        <w:rPr>
          <w:rFonts w:ascii="Times New Roman" w:hAnsi="Times New Roman" w:eastAsia="仿宋_GB2312" w:cs="Times New Roman"/>
          <w:sz w:val="32"/>
          <w:szCs w:val="32"/>
          <w:highlight w:val="none"/>
        </w:rPr>
        <w:t>万元，其中：</w:t>
      </w:r>
    </w:p>
    <w:p w14:paraId="47DE6344">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sz w:val="32"/>
          <w:szCs w:val="32"/>
          <w:highlight w:val="none"/>
        </w:rPr>
        <w:t>人员经费</w:t>
      </w:r>
      <w:r>
        <w:rPr>
          <w:rFonts w:hint="eastAsia" w:ascii="Times New Roman" w:hAnsi="Times New Roman" w:eastAsia="仿宋_GB2312" w:cs="Times New Roman"/>
          <w:sz w:val="32"/>
          <w:szCs w:val="32"/>
          <w:highlight w:val="none"/>
          <w:lang w:val="en-US" w:eastAsia="zh-CN"/>
        </w:rPr>
        <w:t>552.33</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61.19</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highlight w:val="none"/>
        </w:rPr>
        <w:t>主要包括基本工资、</w:t>
      </w:r>
      <w:r>
        <w:rPr>
          <w:rFonts w:hint="eastAsia" w:ascii="Times New Roman" w:hAnsi="Times New Roman" w:eastAsia="仿宋_GB2312" w:cs="Times New Roman"/>
          <w:color w:val="auto"/>
          <w:sz w:val="32"/>
          <w:szCs w:val="32"/>
          <w:highlight w:val="none"/>
        </w:rPr>
        <w:t>绩效工资、</w:t>
      </w:r>
      <w:r>
        <w:rPr>
          <w:rFonts w:ascii="Times New Roman" w:hAnsi="Times New Roman" w:eastAsia="仿宋_GB2312" w:cs="Times New Roman"/>
          <w:color w:val="auto"/>
          <w:sz w:val="32"/>
          <w:szCs w:val="32"/>
          <w:highlight w:val="none"/>
        </w:rPr>
        <w:t>机关事业单位基本养老保险缴费、职工基本医疗保险缴费</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其他社会保障缴费、</w:t>
      </w:r>
      <w:r>
        <w:rPr>
          <w:rFonts w:hint="eastAsia" w:ascii="Times New Roman" w:hAnsi="Times New Roman" w:eastAsia="仿宋_GB2312" w:cs="Times New Roman"/>
          <w:color w:val="auto"/>
          <w:sz w:val="32"/>
          <w:szCs w:val="32"/>
          <w:highlight w:val="none"/>
        </w:rPr>
        <w:t>住房公积金、</w:t>
      </w:r>
      <w:r>
        <w:rPr>
          <w:rFonts w:ascii="Times New Roman" w:hAnsi="Times New Roman" w:eastAsia="仿宋_GB2312" w:cs="Times New Roman"/>
          <w:color w:val="auto"/>
          <w:sz w:val="32"/>
          <w:szCs w:val="32"/>
          <w:highlight w:val="none"/>
        </w:rPr>
        <w:t>津贴补贴、奖金、伙食补助</w:t>
      </w:r>
      <w:r>
        <w:rPr>
          <w:rFonts w:hint="eastAsia" w:ascii="Times New Roman" w:hAnsi="Times New Roman" w:eastAsia="仿宋_GB2312" w:cs="Times New Roman"/>
          <w:color w:val="auto"/>
          <w:sz w:val="32"/>
          <w:szCs w:val="32"/>
          <w:highlight w:val="none"/>
        </w:rPr>
        <w:t>费、</w:t>
      </w:r>
      <w:r>
        <w:rPr>
          <w:rFonts w:ascii="Times New Roman" w:hAnsi="Times New Roman" w:eastAsia="仿宋_GB2312" w:cs="Times New Roman"/>
          <w:color w:val="auto"/>
          <w:sz w:val="32"/>
          <w:szCs w:val="32"/>
          <w:highlight w:val="none"/>
        </w:rPr>
        <w:t>其他工资福利支出、退休费、其他对个人和家庭的补助支出</w:t>
      </w:r>
      <w:r>
        <w:rPr>
          <w:rFonts w:hint="eastAsia" w:ascii="Times New Roman" w:hAnsi="Times New Roman" w:eastAsia="仿宋_GB2312" w:cs="Times New Roman"/>
          <w:color w:val="auto"/>
          <w:sz w:val="32"/>
          <w:szCs w:val="32"/>
          <w:highlight w:val="none"/>
        </w:rPr>
        <w:t>等</w:t>
      </w:r>
      <w:r>
        <w:rPr>
          <w:rFonts w:ascii="Times New Roman" w:hAnsi="Times New Roman" w:eastAsia="仿宋_GB2312" w:cs="Times New Roman"/>
          <w:color w:val="auto"/>
          <w:sz w:val="32"/>
          <w:szCs w:val="32"/>
          <w:highlight w:val="none"/>
        </w:rPr>
        <w:t>。</w:t>
      </w:r>
    </w:p>
    <w:p w14:paraId="6C84D51B">
      <w:pPr>
        <w:pStyle w:val="15"/>
        <w:overflowPunct w:val="0"/>
        <w:autoSpaceDE/>
        <w:autoSpaceDN/>
        <w:spacing w:line="600" w:lineRule="exact"/>
        <w:ind w:firstLine="640" w:firstLineChars="200"/>
        <w:jc w:val="both"/>
        <w:rPr>
          <w:rFonts w:ascii="Times New Roman" w:hAnsi="Times New Roman" w:eastAsia="仿宋_GB2312" w:cs="Times New Roman"/>
          <w:b/>
          <w:color w:val="auto"/>
          <w:sz w:val="32"/>
          <w:szCs w:val="32"/>
          <w:highlight w:val="none"/>
        </w:rPr>
      </w:pPr>
      <w:r>
        <w:rPr>
          <w:rFonts w:ascii="Times New Roman" w:hAnsi="Times New Roman" w:eastAsia="仿宋_GB2312" w:cs="Times New Roman"/>
          <w:b/>
          <w:bCs/>
          <w:sz w:val="32"/>
          <w:szCs w:val="32"/>
          <w:highlight w:val="none"/>
        </w:rPr>
        <w:t>公用经费</w:t>
      </w:r>
      <w:r>
        <w:rPr>
          <w:rFonts w:hint="eastAsia" w:ascii="Times New Roman" w:hAnsi="Times New Roman" w:eastAsia="仿宋_GB2312" w:cs="Times New Roman"/>
          <w:sz w:val="32"/>
          <w:szCs w:val="32"/>
          <w:highlight w:val="none"/>
          <w:lang w:val="en-US" w:eastAsia="zh-CN"/>
        </w:rPr>
        <w:t>350.26</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38.81</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highlight w:val="none"/>
        </w:rPr>
        <w:t>主要包括办公费、印刷费、水费、电费、邮电费、取暖费、物业管理费、差旅费、维修</w:t>
      </w:r>
      <w:r>
        <w:rPr>
          <w:rFonts w:hint="eastAsia" w:ascii="Times New Roman" w:hAnsi="Times New Roman" w:eastAsia="仿宋_GB2312" w:cs="Times New Roman"/>
          <w:color w:val="auto"/>
          <w:sz w:val="32"/>
          <w:szCs w:val="32"/>
          <w:highlight w:val="none"/>
        </w:rPr>
        <w:t>(护)费、会议费、培训费、公务接待费、劳务费、工会经费、公务用车运行维护费、其他交通费用、其他商品和服务支出等。</w:t>
      </w:r>
    </w:p>
    <w:p w14:paraId="594640DC">
      <w:pPr>
        <w:pStyle w:val="15"/>
        <w:overflowPunct w:val="0"/>
        <w:autoSpaceDE/>
        <w:autoSpaceDN/>
        <w:spacing w:line="600" w:lineRule="exact"/>
        <w:ind w:firstLine="640" w:firstLineChars="200"/>
        <w:jc w:val="both"/>
        <w:rPr>
          <w:rFonts w:ascii="Times New Roman" w:hAnsi="Times New Roman" w:eastAsia="仿宋_GB2312" w:cs="Times New Roman"/>
          <w:b/>
          <w:sz w:val="32"/>
          <w:szCs w:val="32"/>
          <w:highlight w:val="none"/>
        </w:rPr>
      </w:pPr>
      <w:r>
        <w:rPr>
          <w:rFonts w:ascii="Times New Roman" w:hAnsi="Times New Roman" w:cs="Times New Roman"/>
          <w:bCs/>
          <w:sz w:val="32"/>
          <w:szCs w:val="32"/>
          <w:highlight w:val="none"/>
        </w:rPr>
        <w:t>七、财政拨款“三公”经费支出决算情况说明</w:t>
      </w:r>
    </w:p>
    <w:p w14:paraId="2F552156">
      <w:pPr>
        <w:pStyle w:val="15"/>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（一）“三公”经费财政拨款支出决算总体情况说明</w:t>
      </w:r>
    </w:p>
    <w:p w14:paraId="5393689D">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16</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6.75</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3.65</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77.17</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color w:val="auto"/>
          <w:sz w:val="32"/>
          <w:szCs w:val="32"/>
          <w:highlight w:val="none"/>
          <w:lang w:val="en-US" w:eastAsia="zh-CN"/>
        </w:rPr>
        <w:t>2025年度还在</w:t>
      </w:r>
      <w:r>
        <w:rPr>
          <w:rFonts w:hint="eastAsia" w:ascii="Times New Roman" w:hAnsi="Times New Roman" w:eastAsia="仿宋_GB2312" w:cs="Times New Roman"/>
          <w:color w:val="auto"/>
          <w:sz w:val="32"/>
          <w:szCs w:val="32"/>
          <w:highlight w:val="none"/>
        </w:rPr>
        <w:t>闭馆进行陈列升级改造，</w:t>
      </w:r>
      <w:r>
        <w:rPr>
          <w:rFonts w:hint="eastAsia" w:ascii="Times New Roman" w:hAnsi="Times New Roman" w:eastAsia="仿宋_GB2312" w:cs="Times New Roman"/>
          <w:color w:val="auto"/>
          <w:sz w:val="32"/>
          <w:szCs w:val="32"/>
          <w:highlight w:val="none"/>
          <w:lang w:eastAsia="zh-CN"/>
        </w:rPr>
        <w:t>没有产生相应的公务接待</w:t>
      </w:r>
      <w:r>
        <w:rPr>
          <w:rFonts w:hint="eastAsia" w:ascii="Times New Roman" w:hAnsi="Times New Roman" w:eastAsia="仿宋_GB2312" w:cs="Times New Roman"/>
          <w:color w:val="auto"/>
          <w:sz w:val="32"/>
          <w:szCs w:val="32"/>
          <w:highlight w:val="none"/>
        </w:rPr>
        <w:t>；出国项目暂未实施</w:t>
      </w:r>
      <w:r>
        <w:rPr>
          <w:rFonts w:ascii="Times New Roman" w:hAnsi="Times New Roman" w:eastAsia="仿宋_GB2312" w:cs="Times New Roman"/>
          <w:color w:val="auto"/>
          <w:sz w:val="32"/>
          <w:szCs w:val="32"/>
          <w:highlight w:val="none"/>
        </w:rPr>
        <w:t>。决算数小于上年数的主要原因是</w:t>
      </w:r>
      <w:r>
        <w:rPr>
          <w:rFonts w:hint="eastAsia" w:ascii="Times New Roman" w:hAnsi="Times New Roman" w:eastAsia="仿宋_GB2312" w:cs="Times New Roman"/>
          <w:color w:val="auto"/>
          <w:sz w:val="32"/>
          <w:szCs w:val="32"/>
          <w:highlight w:val="none"/>
          <w:lang w:val="en-US" w:eastAsia="zh-CN"/>
        </w:rPr>
        <w:t>2025年度还在闭馆进行陈列升级改造的没有产生相应的</w:t>
      </w:r>
      <w:r>
        <w:rPr>
          <w:rFonts w:hint="eastAsia" w:ascii="Times New Roman" w:hAnsi="Times New Roman" w:eastAsia="仿宋_GB2312" w:cs="Times New Roman"/>
          <w:color w:val="auto"/>
          <w:sz w:val="32"/>
          <w:szCs w:val="32"/>
          <w:highlight w:val="none"/>
        </w:rPr>
        <w:t>公务接待</w:t>
      </w:r>
      <w:r>
        <w:rPr>
          <w:rFonts w:hint="eastAsia" w:ascii="Times New Roman" w:hAnsi="Times New Roman" w:eastAsia="仿宋_GB2312" w:cs="Times New Roman"/>
          <w:color w:val="auto"/>
          <w:sz w:val="32"/>
          <w:szCs w:val="32"/>
          <w:highlight w:val="none"/>
          <w:lang w:eastAsia="zh-CN"/>
        </w:rPr>
        <w:t>。</w:t>
      </w:r>
    </w:p>
    <w:p w14:paraId="1AF29CD4">
      <w:pPr>
        <w:pStyle w:val="15"/>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6684F930">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highlight w:val="none"/>
        </w:rPr>
        <w:t>与上年相比</w:t>
      </w:r>
      <w:r>
        <w:rPr>
          <w:rFonts w:hint="eastAsia" w:ascii="Times New Roman" w:hAnsi="Times New Roman" w:eastAsia="仿宋_GB2312" w:cs="Times New Roman"/>
          <w:color w:val="auto"/>
          <w:sz w:val="32"/>
          <w:szCs w:val="32"/>
          <w:highlight w:val="none"/>
        </w:rPr>
        <w:t>无增减</w:t>
      </w:r>
      <w:r>
        <w:rPr>
          <w:rFonts w:ascii="Times New Roman" w:hAnsi="Times New Roman" w:eastAsia="仿宋_GB2312" w:cs="Times New Roman"/>
          <w:color w:val="auto"/>
          <w:sz w:val="32"/>
          <w:szCs w:val="32"/>
          <w:highlight w:val="none"/>
        </w:rPr>
        <w:t>。决算数小于预算数的主要原因是</w:t>
      </w:r>
      <w:r>
        <w:rPr>
          <w:rFonts w:hint="eastAsia"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年我馆进行陈列升级改造，暂未实施出国计划，没有产生相应的出国经费</w:t>
      </w:r>
      <w:r>
        <w:rPr>
          <w:rFonts w:ascii="Times New Roman" w:hAnsi="Times New Roman" w:eastAsia="仿宋_GB2312" w:cs="Times New Roman"/>
          <w:color w:val="auto"/>
          <w:sz w:val="32"/>
          <w:szCs w:val="32"/>
          <w:highlight w:val="none"/>
        </w:rPr>
        <w:t>。决算数</w:t>
      </w:r>
      <w:r>
        <w:rPr>
          <w:rFonts w:hint="eastAsia" w:ascii="Times New Roman" w:hAnsi="Times New Roman" w:eastAsia="仿宋_GB2312" w:cs="Times New Roman"/>
          <w:color w:val="auto"/>
          <w:sz w:val="32"/>
          <w:szCs w:val="32"/>
          <w:highlight w:val="none"/>
        </w:rPr>
        <w:t>与</w:t>
      </w:r>
      <w:r>
        <w:rPr>
          <w:rFonts w:ascii="Times New Roman" w:hAnsi="Times New Roman" w:eastAsia="仿宋_GB2312" w:cs="Times New Roman"/>
          <w:color w:val="auto"/>
          <w:sz w:val="32"/>
          <w:szCs w:val="32"/>
          <w:highlight w:val="none"/>
        </w:rPr>
        <w:t>上年数</w:t>
      </w:r>
      <w:r>
        <w:rPr>
          <w:rFonts w:hint="eastAsia" w:ascii="Times New Roman" w:hAnsi="Times New Roman" w:eastAsia="仿宋_GB2312" w:cs="Times New Roman"/>
          <w:color w:val="auto"/>
          <w:sz w:val="32"/>
          <w:szCs w:val="32"/>
          <w:highlight w:val="none"/>
        </w:rPr>
        <w:t>相比无增减</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年度安排因公出国（境）团组</w:t>
      </w:r>
      <w:r>
        <w:rPr>
          <w:rFonts w:hint="eastAsia" w:ascii="Times New Roman" w:hAnsi="Times New Roman" w:eastAsia="仿宋_GB2312" w:cs="Times New Roman"/>
          <w:color w:val="auto"/>
          <w:sz w:val="32"/>
          <w:szCs w:val="32"/>
          <w:highlight w:val="none"/>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rPr>
        <w:t>0</w:t>
      </w:r>
      <w:r>
        <w:rPr>
          <w:rFonts w:ascii="Times New Roman" w:hAnsi="Times New Roman" w:eastAsia="仿宋_GB2312" w:cs="Times New Roman"/>
          <w:color w:val="auto"/>
          <w:sz w:val="32"/>
          <w:szCs w:val="32"/>
          <w:highlight w:val="none"/>
        </w:rPr>
        <w:t>人次</w:t>
      </w:r>
      <w:r>
        <w:rPr>
          <w:rFonts w:hint="eastAsia" w:ascii="Times New Roman" w:hAnsi="Times New Roman" w:eastAsia="仿宋_GB2312" w:cs="Times New Roman"/>
          <w:color w:val="auto"/>
          <w:sz w:val="32"/>
          <w:szCs w:val="32"/>
          <w:highlight w:val="none"/>
        </w:rPr>
        <w:t>。</w:t>
      </w:r>
    </w:p>
    <w:p w14:paraId="31CE1275">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2.公务用车购置费及运行维护费支出预算为</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27</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2.92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73</w:t>
      </w:r>
      <w:r>
        <w:rPr>
          <w:rFonts w:ascii="Times New Roman" w:hAnsi="Times New Roman" w:eastAsia="仿宋_GB2312" w:cs="Times New Roman"/>
          <w:sz w:val="32"/>
          <w:szCs w:val="32"/>
          <w:highlight w:val="none"/>
        </w:rPr>
        <w:t>%。其中：</w:t>
      </w:r>
    </w:p>
    <w:p w14:paraId="32B488C6">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公务用车购置费支出预算为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由于预算决算数均为0，无法计算完成率；与上年相比无变化。</w:t>
      </w:r>
    </w:p>
    <w:p w14:paraId="1B97CBF3">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1.08</w:t>
      </w:r>
      <w:r>
        <w:rPr>
          <w:rFonts w:ascii="Times New Roman" w:hAnsi="Times New Roman" w:eastAsia="仿宋_GB2312" w:cs="Times New Roman"/>
          <w:sz w:val="32"/>
          <w:szCs w:val="32"/>
          <w:highlight w:val="none"/>
        </w:rPr>
        <w:t>万元，</w:t>
      </w:r>
    </w:p>
    <w:p w14:paraId="2F47AFB8">
      <w:pPr>
        <w:pStyle w:val="15"/>
        <w:overflowPunct w:val="0"/>
        <w:autoSpaceDE/>
        <w:autoSpaceDN/>
        <w:spacing w:line="600" w:lineRule="exact"/>
        <w:ind w:firstLine="640" w:firstLineChars="200"/>
        <w:jc w:val="both"/>
        <w:rPr>
          <w:rFonts w:ascii="Times New Roman" w:hAnsi="Times New Roman" w:eastAsia="楷体" w:cs="Times New Roman"/>
          <w:b/>
          <w:bCs/>
          <w:i/>
          <w:sz w:val="32"/>
          <w:szCs w:val="32"/>
          <w:highlight w:val="none"/>
        </w:rPr>
      </w:pPr>
      <w:r>
        <w:rPr>
          <w:rFonts w:ascii="Times New Roman" w:hAnsi="Times New Roman" w:eastAsia="仿宋_GB2312" w:cs="Times New Roman"/>
          <w:color w:val="auto"/>
          <w:sz w:val="32"/>
          <w:szCs w:val="32"/>
          <w:highlight w:val="none"/>
        </w:rPr>
        <w:t>主要是公务车辆通行、燃油、维修等费用支出</w:t>
      </w:r>
      <w:r>
        <w:rPr>
          <w:rFonts w:ascii="Times New Roman" w:hAnsi="Times New Roman" w:eastAsia="仿宋_GB2312" w:cs="Times New Roman"/>
          <w:sz w:val="32"/>
          <w:szCs w:val="32"/>
          <w:highlight w:val="none"/>
        </w:rPr>
        <w:t>，完成预算的</w:t>
      </w:r>
      <w:r>
        <w:rPr>
          <w:rFonts w:hint="eastAsia" w:ascii="Times New Roman" w:hAnsi="Times New Roman" w:eastAsia="仿宋_GB2312" w:cs="Times New Roman"/>
          <w:sz w:val="32"/>
          <w:szCs w:val="32"/>
          <w:highlight w:val="none"/>
          <w:lang w:val="en-US" w:eastAsia="zh-CN"/>
        </w:rPr>
        <w:t>27</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2.92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73</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sz w:val="32"/>
          <w:szCs w:val="32"/>
          <w:highlight w:val="none"/>
          <w:lang w:eastAsia="zh-CN"/>
        </w:rPr>
        <w:t>我馆</w:t>
      </w:r>
      <w:r>
        <w:rPr>
          <w:rFonts w:hint="eastAsia" w:ascii="Times New Roman" w:hAnsi="Times New Roman" w:eastAsia="仿宋_GB2312" w:cs="Times New Roman"/>
          <w:sz w:val="32"/>
          <w:szCs w:val="32"/>
          <w:highlight w:val="none"/>
          <w:lang w:val="en-US" w:eastAsia="zh-CN"/>
        </w:rPr>
        <w:t>2025年仍在闭馆进行陈列升级改造，相应的公务活动减少，因此公务车辆的通行以及燃油、维修等费用也减少</w:t>
      </w:r>
      <w:r>
        <w:rPr>
          <w:rFonts w:ascii="Times New Roman" w:hAnsi="Times New Roman" w:eastAsia="仿宋_GB2312" w:cs="Times New Roman"/>
          <w:sz w:val="32"/>
          <w:szCs w:val="32"/>
          <w:highlight w:val="none"/>
        </w:rPr>
        <w:t>。决算数小于上年数的主要原因是</w:t>
      </w:r>
      <w:r>
        <w:rPr>
          <w:rFonts w:hint="eastAsia" w:ascii="Times New Roman" w:hAnsi="Times New Roman" w:eastAsia="仿宋_GB2312" w:cs="Times New Roman"/>
          <w:sz w:val="32"/>
          <w:szCs w:val="32"/>
          <w:highlight w:val="none"/>
          <w:lang w:eastAsia="zh-CN"/>
        </w:rPr>
        <w:t>我馆</w:t>
      </w:r>
      <w:r>
        <w:rPr>
          <w:rFonts w:hint="eastAsia" w:ascii="Times New Roman" w:hAnsi="Times New Roman" w:eastAsia="仿宋_GB2312" w:cs="Times New Roman"/>
          <w:sz w:val="32"/>
          <w:szCs w:val="32"/>
          <w:highlight w:val="none"/>
          <w:lang w:val="en-US" w:eastAsia="zh-CN"/>
        </w:rPr>
        <w:t>2025年的公车使用相较于2024年减少</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辆。</w:t>
      </w:r>
    </w:p>
    <w:p w14:paraId="0EF0D2A4">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0.73</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color w:val="auto"/>
          <w:sz w:val="32"/>
          <w:szCs w:val="32"/>
          <w:highlight w:val="none"/>
          <w:lang w:val="en-US" w:eastAsia="zh-CN"/>
        </w:rPr>
        <w:t>2025年度还在</w:t>
      </w:r>
      <w:r>
        <w:rPr>
          <w:rFonts w:hint="eastAsia" w:ascii="Times New Roman" w:hAnsi="Times New Roman" w:eastAsia="仿宋_GB2312" w:cs="Times New Roman"/>
          <w:color w:val="auto"/>
          <w:sz w:val="32"/>
          <w:szCs w:val="32"/>
          <w:highlight w:val="none"/>
        </w:rPr>
        <w:t>闭馆进行陈列升级改造，</w:t>
      </w:r>
      <w:r>
        <w:rPr>
          <w:rFonts w:hint="eastAsia" w:ascii="Times New Roman" w:hAnsi="Times New Roman" w:eastAsia="仿宋_GB2312" w:cs="Times New Roman"/>
          <w:color w:val="auto"/>
          <w:sz w:val="32"/>
          <w:szCs w:val="32"/>
          <w:highlight w:val="none"/>
          <w:lang w:eastAsia="zh-CN"/>
        </w:rPr>
        <w:t>没有产生相应的公务接待</w:t>
      </w:r>
      <w:r>
        <w:rPr>
          <w:rFonts w:ascii="Times New Roman" w:hAnsi="Times New Roman" w:eastAsia="仿宋_GB2312" w:cs="Times New Roman"/>
          <w:sz w:val="32"/>
          <w:szCs w:val="32"/>
          <w:highlight w:val="none"/>
        </w:rPr>
        <w:t>。决算数小于上年数的主要原因是</w:t>
      </w:r>
      <w:r>
        <w:rPr>
          <w:rFonts w:hint="eastAsia" w:ascii="Times New Roman" w:hAnsi="Times New Roman" w:eastAsia="仿宋_GB2312" w:cs="Times New Roman"/>
          <w:color w:val="auto"/>
          <w:sz w:val="32"/>
          <w:szCs w:val="32"/>
          <w:highlight w:val="none"/>
          <w:lang w:val="en-US" w:eastAsia="zh-CN"/>
        </w:rPr>
        <w:t>2025年度还在</w:t>
      </w:r>
      <w:r>
        <w:rPr>
          <w:rFonts w:hint="eastAsia" w:ascii="Times New Roman" w:hAnsi="Times New Roman" w:eastAsia="仿宋_GB2312" w:cs="Times New Roman"/>
          <w:color w:val="auto"/>
          <w:sz w:val="32"/>
          <w:szCs w:val="32"/>
          <w:highlight w:val="none"/>
        </w:rPr>
        <w:t>闭馆进行陈列升级改造，</w:t>
      </w:r>
      <w:r>
        <w:rPr>
          <w:rFonts w:hint="eastAsia" w:ascii="Times New Roman" w:hAnsi="Times New Roman" w:eastAsia="仿宋_GB2312" w:cs="Times New Roman"/>
          <w:color w:val="auto"/>
          <w:sz w:val="32"/>
          <w:szCs w:val="32"/>
          <w:highlight w:val="none"/>
          <w:lang w:eastAsia="zh-CN"/>
        </w:rPr>
        <w:t>没有产生相应的公务接待</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p>
    <w:p w14:paraId="0E250582">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14:paraId="31333CD3">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年度我单位没有政府性基金收入</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也没有使用政府性基金安排的支出，故政府性基金预算财政拨款收入支出决算表无数据。</w:t>
      </w:r>
    </w:p>
    <w:p w14:paraId="78EB9FF5">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九、关于机关运行经费支出说明</w:t>
      </w:r>
    </w:p>
    <w:p w14:paraId="7345E8EF">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年度我单位没有</w:t>
      </w:r>
      <w:r>
        <w:rPr>
          <w:rFonts w:hint="eastAsia" w:ascii="Times New Roman" w:hAnsi="Times New Roman" w:eastAsia="仿宋_GB2312" w:cs="Times New Roman"/>
          <w:color w:val="auto"/>
          <w:sz w:val="32"/>
          <w:szCs w:val="32"/>
          <w:highlight w:val="none"/>
        </w:rPr>
        <w:t>机关运行经费</w:t>
      </w:r>
      <w:r>
        <w:rPr>
          <w:rFonts w:ascii="Times New Roman" w:hAnsi="Times New Roman" w:eastAsia="仿宋_GB2312" w:cs="Times New Roman"/>
          <w:color w:val="auto"/>
          <w:sz w:val="32"/>
          <w:szCs w:val="32"/>
          <w:highlight w:val="none"/>
        </w:rPr>
        <w:t>支出</w:t>
      </w:r>
      <w:r>
        <w:rPr>
          <w:rFonts w:ascii="Times New Roman" w:hAnsi="Times New Roman" w:eastAsia="仿宋_GB2312" w:cs="Times New Roman"/>
          <w:sz w:val="32"/>
          <w:szCs w:val="32"/>
          <w:highlight w:val="none"/>
        </w:rPr>
        <w:t>。</w:t>
      </w:r>
    </w:p>
    <w:p w14:paraId="7160210B">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14:paraId="17FBD8B1">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万元；开支培训费</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用于</w:t>
      </w:r>
      <w:r>
        <w:rPr>
          <w:rFonts w:hint="eastAsia" w:ascii="Times New Roman" w:hAnsi="Times New Roman" w:eastAsia="仿宋_GB2312"/>
          <w:color w:val="auto"/>
          <w:sz w:val="32"/>
          <w:szCs w:val="32"/>
          <w:highlight w:val="none"/>
        </w:rPr>
        <w:t>开展事业单位工作人员培训，人数26人，内容为事业单位工作人员公共科目、专业科目理论培训。</w:t>
      </w:r>
    </w:p>
    <w:p w14:paraId="5C8F729D">
      <w:pPr>
        <w:pStyle w:val="15"/>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十一、关于政府采购支出说明</w:t>
      </w:r>
    </w:p>
    <w:p w14:paraId="6FF5D35F">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45</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45</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45</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35</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77.78</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p>
    <w:p w14:paraId="34E3AF9C">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十二、关于国有资产占用情况说明</w:t>
      </w:r>
    </w:p>
    <w:p w14:paraId="288A3438">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截至202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年12月31日，部门（单位）共有车辆</w:t>
      </w:r>
      <w:r>
        <w:rPr>
          <w:rFonts w:hint="eastAsia" w:ascii="Times New Roman" w:hAnsi="Times New Roman" w:eastAsia="仿宋_GB2312" w:cs="Times New Roman"/>
          <w:color w:val="auto"/>
          <w:sz w:val="32"/>
          <w:szCs w:val="32"/>
          <w:highlight w:val="none"/>
          <w:lang w:val="en-US" w:eastAsia="zh-CN"/>
        </w:rPr>
        <w:t>1</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辆、主要负责人用车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辆、机要通信用车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辆、应急保障用车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辆、执法执勤用车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辆，其他用车主要是</w:t>
      </w:r>
      <w:r>
        <w:rPr>
          <w:rFonts w:hint="eastAsia" w:ascii="Times New Roman" w:hAnsi="Times New Roman" w:eastAsia="仿宋_GB2312" w:cs="Times New Roman"/>
          <w:color w:val="auto"/>
          <w:sz w:val="32"/>
          <w:szCs w:val="32"/>
          <w:highlight w:val="none"/>
        </w:rPr>
        <w:t>日常业务工作开展用车（党史宣传教育、文物征集、陈列送展等业务活动）</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6F0638B9">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14:paraId="22900033">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11</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1828.68</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11</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1828.68</w:t>
      </w:r>
      <w:r>
        <w:rPr>
          <w:rFonts w:ascii="Times New Roman" w:hAnsi="Times New Roman" w:eastAsia="仿宋_GB2312" w:cs="Times New Roman"/>
          <w:kern w:val="0"/>
          <w:sz w:val="32"/>
          <w:szCs w:val="32"/>
          <w:highlight w:val="none"/>
        </w:rPr>
        <w:t xml:space="preserve"> 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万元，占政府性基金预算支出总额的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0A4E91A1">
      <w:pPr>
        <w:widowControl/>
        <w:spacing w:line="600" w:lineRule="exact"/>
        <w:ind w:firstLine="640" w:firstLineChars="200"/>
        <w:rPr>
          <w:rFonts w:eastAsia="仿宋_GB2312"/>
          <w:sz w:val="32"/>
          <w:szCs w:val="32"/>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3161.14</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2731.28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86.4</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94.94</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优秀</w:t>
      </w:r>
      <w:r>
        <w:rPr>
          <w:rFonts w:ascii="Times New Roman" w:hAnsi="Times New Roman" w:eastAsia="仿宋_GB2312" w:cs="Times New Roman"/>
          <w:sz w:val="32"/>
          <w:szCs w:val="32"/>
          <w:highlight w:val="none"/>
        </w:rPr>
        <w:t>”。绩效目标完成情况：</w:t>
      </w:r>
      <w:r>
        <w:rPr>
          <w:rFonts w:eastAsia="仿宋_GB2312"/>
          <w:sz w:val="32"/>
          <w:szCs w:val="32"/>
          <w:highlight w:val="none"/>
        </w:rPr>
        <w:t>202</w:t>
      </w:r>
      <w:r>
        <w:rPr>
          <w:rFonts w:hint="eastAsia" w:eastAsia="仿宋_GB2312"/>
          <w:sz w:val="32"/>
          <w:szCs w:val="32"/>
          <w:highlight w:val="none"/>
        </w:rPr>
        <w:t>5</w:t>
      </w:r>
      <w:r>
        <w:rPr>
          <w:rFonts w:hint="eastAsia" w:eastAsia="仿宋_GB2312"/>
          <w:sz w:val="32"/>
          <w:szCs w:val="32"/>
          <w:highlight w:val="none"/>
          <w:lang w:eastAsia="zh-CN"/>
        </w:rPr>
        <w:t>年</w:t>
      </w:r>
      <w:r>
        <w:rPr>
          <w:rFonts w:hint="eastAsia" w:eastAsia="仿宋_GB2312"/>
          <w:sz w:val="32"/>
          <w:szCs w:val="32"/>
          <w:highlight w:val="none"/>
        </w:rPr>
        <w:t>湖南党史馆</w:t>
      </w:r>
      <w:r>
        <w:rPr>
          <w:rFonts w:eastAsia="仿宋_GB2312"/>
          <w:sz w:val="32"/>
          <w:szCs w:val="32"/>
          <w:highlight w:val="none"/>
        </w:rPr>
        <w:t>始终坚持以习近平新时代中国特色社会主义思想为指导，以学习宣传贯彻《党史学习教育条例》为抓手，以队伍建设和匠心铸馆为着力点，扎实推进各项工作取得新成效。</w:t>
      </w:r>
    </w:p>
    <w:p w14:paraId="16AD9D2B">
      <w:pPr>
        <w:widowControl/>
        <w:spacing w:line="600" w:lineRule="exact"/>
        <w:ind w:firstLine="640" w:firstLineChars="200"/>
        <w:rPr>
          <w:rFonts w:hint="eastAsia" w:eastAsia="仿宋_GB2312"/>
          <w:sz w:val="32"/>
          <w:szCs w:val="32"/>
          <w:highlight w:val="none"/>
        </w:rPr>
      </w:pPr>
      <w:r>
        <w:rPr>
          <w:rFonts w:hint="eastAsia" w:eastAsia="仿宋_GB2312"/>
          <w:sz w:val="32"/>
          <w:szCs w:val="32"/>
          <w:highlight w:val="none"/>
        </w:rPr>
        <w:t>1.陈列升级：攻坚破难，惊艳绽放。9月18日，升级后的湖南党史馆正式亮相，升级后的场馆构建“4+1+2”特色展览格局，6600平方米展厅、2公里精品展线有序铺展，1100余件文物集中展出，其中新增文物超700件套，百张历史照片经AI技术修复重现风采。场馆拓展700平方米展教空间，新增4台自动扶梯，打造10余个科技与艺术融合的互动场景，推出多部沉浸式微型演艺剧目，完善20余处便民设施，实现内容、文物、科技等多维度集成创新。</w:t>
      </w:r>
    </w:p>
    <w:p w14:paraId="178604AC">
      <w:pPr>
        <w:spacing w:line="560" w:lineRule="exact"/>
        <w:ind w:firstLine="640" w:firstLineChars="200"/>
        <w:rPr>
          <w:rFonts w:hint="eastAsia" w:eastAsia="仿宋_GB2312"/>
          <w:sz w:val="32"/>
          <w:szCs w:val="32"/>
          <w:highlight w:val="none"/>
        </w:rPr>
      </w:pPr>
      <w:r>
        <w:rPr>
          <w:rFonts w:hint="eastAsia" w:eastAsia="仿宋_GB2312"/>
          <w:sz w:val="32"/>
          <w:szCs w:val="32"/>
          <w:highlight w:val="none"/>
        </w:rPr>
        <w:t>2.专题展览：精品铸魂，薪火相传。承办“文物里的抗战故事”——湖南纪念中国人民抗日战争暨世界反法西斯战争胜利80周年主题展。同步推出80期《文物有声——烽火中的抗战往事》融媒体特别节目。联合省委组织部老干局推出“为有牺牲多壮志——湖南省离休干部红色文物展”，汇集3000余名省离退休干部的200多件珍贵史料。联合省教育厅推出《铁的青春——纪念长沙学生参加枝柳铁路建设主题展》。</w:t>
      </w:r>
    </w:p>
    <w:p w14:paraId="7443AF23">
      <w:pPr>
        <w:spacing w:line="560" w:lineRule="exact"/>
        <w:ind w:firstLine="640" w:firstLineChars="200"/>
        <w:rPr>
          <w:rFonts w:hint="eastAsia" w:eastAsia="仿宋_GB2312"/>
          <w:sz w:val="32"/>
          <w:szCs w:val="32"/>
          <w:highlight w:val="none"/>
        </w:rPr>
      </w:pPr>
      <w:r>
        <w:rPr>
          <w:rFonts w:hint="eastAsia" w:eastAsia="仿宋_GB2312"/>
          <w:sz w:val="32"/>
          <w:szCs w:val="32"/>
          <w:highlight w:val="none"/>
        </w:rPr>
        <w:t>3.宣教创新：红色洗礼、声入人心。341场讲解，75场宣讲，精心打造4部展厅沉浸式思政课、4堂专题党课、10个鲜活红色故事，构建起“故事+课程+剧目”一体化内容供给体系。与3所学校共建“大思政课”基地，与43所高校深化“大思政课”共建及志愿者合作，与湖师大联合打造《稻浪长歌》思政课，构建“馆校协同+沉浸体验+数媒传播”闭环育人体系；宣讲团走进19所学校开展“行走的思政课”；联合省教育电视台打造10期《走读红色湖湘》《血色印记》系列专题节目。赴近10个市州推进“四史”宣讲“七进”工作，开展各类活动80余场次，线下覆盖受众超10万人次。</w:t>
      </w:r>
    </w:p>
    <w:p w14:paraId="48A75481">
      <w:pPr>
        <w:spacing w:line="560" w:lineRule="exact"/>
        <w:ind w:firstLine="640" w:firstLineChars="200"/>
        <w:rPr>
          <w:rFonts w:hint="eastAsia" w:eastAsia="仿宋_GB2312"/>
          <w:sz w:val="32"/>
          <w:szCs w:val="32"/>
          <w:highlight w:val="none"/>
        </w:rPr>
      </w:pPr>
      <w:r>
        <w:rPr>
          <w:rFonts w:hint="eastAsia" w:eastAsia="仿宋_GB2312"/>
          <w:sz w:val="32"/>
          <w:szCs w:val="32"/>
          <w:highlight w:val="none"/>
        </w:rPr>
        <w:t>4.文物征藏：跋山涉水，赓续荣光。成功征集珍贵实物249件（套）：完成馆奠基日天安门广场升挂国旗交接入藏，征集到张震将军手稿、廖汉生将军皮箱、陈能宽院士家书等名人遗存，以及袁隆平院士、卢光琇教授等湖湘英模见证物。配合省财政厅完成8万字口述实录核定，完成1万余册红色图书入藏基因库扩容并提供80次专题资料查阅服务；</w:t>
      </w:r>
      <w:bookmarkStart w:id="2" w:name="_GoBack"/>
      <w:bookmarkEnd w:id="2"/>
    </w:p>
    <w:p w14:paraId="3FB50D3E">
      <w:pPr>
        <w:spacing w:line="560" w:lineRule="exact"/>
        <w:ind w:firstLine="640" w:firstLineChars="200"/>
        <w:rPr>
          <w:rFonts w:hint="eastAsia" w:eastAsia="仿宋_GB2312"/>
          <w:sz w:val="32"/>
          <w:szCs w:val="32"/>
          <w:highlight w:val="none"/>
        </w:rPr>
      </w:pPr>
      <w:r>
        <w:rPr>
          <w:rFonts w:hint="eastAsia" w:eastAsia="仿宋_GB2312"/>
          <w:sz w:val="32"/>
          <w:szCs w:val="32"/>
          <w:highlight w:val="none"/>
        </w:rPr>
        <w:t>5.融媒传播：破圈出彩，声动未来。全年发布融媒信息630篇（条）；专门组织成立短视频创作小组，推行“一月一讨论一调度一总结”工作机制，精心推出《湘韵红脉 纪律传承》《湖湘音 先烈志》等6大系列318条短视频作品。</w:t>
      </w:r>
    </w:p>
    <w:p w14:paraId="4287BB60">
      <w:pPr>
        <w:spacing w:line="560" w:lineRule="exact"/>
        <w:ind w:firstLine="640" w:firstLineChars="200"/>
        <w:rPr>
          <w:rFonts w:hint="eastAsia" w:eastAsia="仿宋_GB2312"/>
          <w:sz w:val="32"/>
          <w:szCs w:val="32"/>
          <w:highlight w:val="none"/>
          <w:lang w:eastAsia="zh-CN"/>
        </w:rPr>
      </w:pPr>
      <w:r>
        <w:rPr>
          <w:rFonts w:hint="eastAsia" w:eastAsia="仿宋_GB2312"/>
          <w:sz w:val="32"/>
          <w:szCs w:val="32"/>
          <w:highlight w:val="none"/>
        </w:rPr>
        <w:t>6.学术文创：匠心赋能，价值转化。《芳草地・红色湖南的热血与传承》即将公开出版，编辑出版馆刊《芳草地》3期、发行量达1.65万册；全馆干部职工在《中国文物报》等权威刊物及省级以上学术研讨会（论坛）发表文章10篇，另有6篇论文获评《博物馆学文集》第14-17集优秀论文奖，8篇文稿被《“我的韶山行”——用信仰点亮青春》收录。同时，强化学术交流与能力提升，组织60余人次参与学术研讨和行业交流，开展线上线下各类培训100余场、“他山之石”业务分享会2场，覆盖400多人次，持续夯实专业素养。从社会公开征集的300余件作品中选定并发布馆新Logo；新文创空间于9月重装开放并正常运营；研发“为人民服务”“百年湘潮”等五大系列20余款文创产品</w:t>
      </w:r>
      <w:r>
        <w:rPr>
          <w:rFonts w:hint="eastAsia" w:eastAsia="仿宋_GB2312"/>
          <w:sz w:val="32"/>
          <w:szCs w:val="32"/>
          <w:highlight w:val="none"/>
          <w:lang w:eastAsia="zh-CN"/>
        </w:rPr>
        <w:t>。</w:t>
      </w:r>
    </w:p>
    <w:p w14:paraId="57694281">
      <w:pPr>
        <w:spacing w:line="600" w:lineRule="exact"/>
        <w:ind w:firstLine="640" w:firstLineChars="200"/>
        <w:rPr>
          <w:rFonts w:eastAsia="仿宋_GB2312"/>
          <w:sz w:val="32"/>
          <w:szCs w:val="32"/>
          <w:highlight w:val="none"/>
        </w:rPr>
      </w:pPr>
      <w:r>
        <w:rPr>
          <w:rFonts w:ascii="Times New Roman" w:hAnsi="Times New Roman" w:eastAsia="仿宋_GB2312" w:cs="Times New Roman"/>
          <w:sz w:val="32"/>
          <w:szCs w:val="32"/>
          <w:highlight w:val="none"/>
        </w:rPr>
        <w:t>下一步改进措施：</w:t>
      </w:r>
      <w:r>
        <w:rPr>
          <w:rFonts w:eastAsia="仿宋_GB2312"/>
          <w:sz w:val="32"/>
          <w:szCs w:val="32"/>
          <w:highlight w:val="none"/>
          <w:lang w:val="en-US" w:eastAsia="zh-CN"/>
        </w:rPr>
        <w:t>针对绩效自评查摆发现的问题，我馆将从讲政治、守规矩、</w:t>
      </w:r>
      <w:r>
        <w:rPr>
          <w:rFonts w:eastAsia="仿宋_GB2312"/>
          <w:color w:val="auto"/>
          <w:sz w:val="32"/>
          <w:szCs w:val="32"/>
          <w:highlight w:val="none"/>
          <w:lang w:val="en-US" w:eastAsia="zh-CN"/>
        </w:rPr>
        <w:t>严财经纪律的</w:t>
      </w:r>
      <w:r>
        <w:rPr>
          <w:rFonts w:eastAsia="仿宋_GB2312"/>
          <w:sz w:val="32"/>
          <w:szCs w:val="32"/>
          <w:highlight w:val="none"/>
          <w:lang w:val="en-US" w:eastAsia="zh-CN"/>
        </w:rPr>
        <w:t>高度</w:t>
      </w:r>
      <w:r>
        <w:rPr>
          <w:rFonts w:hint="eastAsia" w:eastAsia="仿宋_GB2312"/>
          <w:sz w:val="32"/>
          <w:szCs w:val="32"/>
          <w:highlight w:val="none"/>
          <w:lang w:val="en-US" w:eastAsia="zh-CN"/>
        </w:rPr>
        <w:t>，</w:t>
      </w:r>
      <w:r>
        <w:rPr>
          <w:rFonts w:eastAsia="仿宋_GB2312"/>
          <w:sz w:val="32"/>
          <w:szCs w:val="32"/>
          <w:highlight w:val="none"/>
          <w:lang w:val="en-US" w:eastAsia="zh-CN"/>
        </w:rPr>
        <w:t>从严抓好整改提升，切实规范财政资金使用管理、提高资金使用效益，全面提升预算管理和履职服务质效。具体改进措施如下：</w:t>
      </w:r>
    </w:p>
    <w:p w14:paraId="447773AF">
      <w:pPr>
        <w:spacing w:line="600" w:lineRule="exact"/>
        <w:ind w:firstLine="640" w:firstLineChars="200"/>
        <w:rPr>
          <w:rFonts w:eastAsia="仿宋_GB2312"/>
          <w:sz w:val="32"/>
          <w:szCs w:val="32"/>
          <w:highlight w:val="none"/>
        </w:rPr>
      </w:pPr>
      <w:r>
        <w:rPr>
          <w:rFonts w:eastAsia="仿宋_GB2312"/>
          <w:sz w:val="32"/>
          <w:szCs w:val="32"/>
          <w:highlight w:val="none"/>
        </w:rPr>
        <w:t>（一）强化责任担当，夯实预算绩效管理思想基础</w:t>
      </w:r>
    </w:p>
    <w:p w14:paraId="3E65F7E9">
      <w:pPr>
        <w:spacing w:line="600" w:lineRule="exact"/>
        <w:ind w:firstLine="640" w:firstLineChars="200"/>
        <w:rPr>
          <w:rFonts w:eastAsia="仿宋_GB2312"/>
          <w:sz w:val="32"/>
          <w:szCs w:val="32"/>
          <w:highlight w:val="none"/>
          <w:lang w:val="en-US" w:eastAsia="zh-CN"/>
        </w:rPr>
      </w:pPr>
      <w:r>
        <w:rPr>
          <w:rFonts w:eastAsia="仿宋_GB2312"/>
          <w:sz w:val="32"/>
          <w:szCs w:val="32"/>
          <w:highlight w:val="none"/>
          <w:lang w:val="en-US" w:eastAsia="zh-CN"/>
        </w:rPr>
        <w:t>深入学习贯彻党中央关于预算绩效管理的决策部署，严格压实预算管理主体责任，将预算执行、绩效管理与馆内中心工作同谋划、同部署、同落实。</w:t>
      </w:r>
    </w:p>
    <w:p w14:paraId="33496CAA">
      <w:pPr>
        <w:spacing w:line="600" w:lineRule="exact"/>
        <w:ind w:firstLine="640" w:firstLineChars="200"/>
        <w:rPr>
          <w:rFonts w:eastAsia="仿宋_GB2312"/>
          <w:sz w:val="32"/>
          <w:szCs w:val="32"/>
          <w:highlight w:val="none"/>
        </w:rPr>
      </w:pPr>
      <w:r>
        <w:rPr>
          <w:rFonts w:eastAsia="仿宋_GB2312"/>
          <w:sz w:val="32"/>
          <w:szCs w:val="32"/>
          <w:highlight w:val="none"/>
        </w:rPr>
        <w:t>（二）健全过程管控，提升预算执行规范化水平</w:t>
      </w:r>
    </w:p>
    <w:p w14:paraId="2AFC3BDB">
      <w:pPr>
        <w:spacing w:line="600" w:lineRule="exact"/>
        <w:ind w:firstLine="640" w:firstLineChars="200"/>
        <w:rPr>
          <w:rFonts w:eastAsia="仿宋_GB2312"/>
          <w:sz w:val="32"/>
          <w:szCs w:val="32"/>
          <w:highlight w:val="none"/>
        </w:rPr>
      </w:pPr>
      <w:r>
        <w:rPr>
          <w:rFonts w:eastAsia="仿宋_GB2312"/>
          <w:sz w:val="32"/>
          <w:szCs w:val="32"/>
          <w:highlight w:val="none"/>
          <w:lang w:val="en-US" w:eastAsia="zh-CN"/>
        </w:rPr>
        <w:t>严格落实零基预算管理要求，在项目预算编制阶段从严开展必要性、可行性论证，从源头上优化资金配置、杜绝低效闲置。建立事前提醒、定期调度、滞后约谈全链条管控机制，对执行进度偏慢的项目及时预警督办、限期整改落实，严守年初预算刚性约束，切实维护预算执行的严肃性和约束力。</w:t>
      </w:r>
    </w:p>
    <w:p w14:paraId="1B38ECCC">
      <w:pPr>
        <w:spacing w:line="600" w:lineRule="exact"/>
        <w:ind w:firstLine="640" w:firstLineChars="200"/>
        <w:rPr>
          <w:rFonts w:eastAsia="仿宋_GB2312"/>
          <w:sz w:val="32"/>
          <w:szCs w:val="32"/>
          <w:highlight w:val="none"/>
        </w:rPr>
      </w:pPr>
      <w:r>
        <w:rPr>
          <w:rFonts w:eastAsia="仿宋_GB2312"/>
          <w:sz w:val="32"/>
          <w:szCs w:val="32"/>
          <w:highlight w:val="none"/>
        </w:rPr>
        <w:t>（三）聚焦主责主业，全面释放财政资金使用效能</w:t>
      </w:r>
    </w:p>
    <w:p w14:paraId="4E4218E7">
      <w:pPr>
        <w:overflowPunct w:val="0"/>
        <w:spacing w:line="600" w:lineRule="exact"/>
        <w:ind w:firstLine="640" w:firstLineChars="200"/>
        <w:rPr>
          <w:rFonts w:ascii="Times New Roman" w:hAnsi="Times New Roman" w:eastAsia="仿宋_GB2312" w:cs="Times New Roman"/>
          <w:bCs/>
          <w:sz w:val="32"/>
          <w:szCs w:val="32"/>
          <w:highlight w:val="none"/>
        </w:rPr>
      </w:pPr>
      <w:r>
        <w:rPr>
          <w:rFonts w:eastAsia="仿宋_GB2312"/>
          <w:sz w:val="32"/>
          <w:szCs w:val="32"/>
          <w:highlight w:val="none"/>
          <w:lang w:val="en-US" w:eastAsia="zh-CN"/>
        </w:rPr>
        <w:t>紧扣馆藏保护、展览陈列</w:t>
      </w:r>
      <w:r>
        <w:rPr>
          <w:rFonts w:hint="eastAsia" w:eastAsia="仿宋_GB2312"/>
          <w:sz w:val="32"/>
          <w:szCs w:val="32"/>
          <w:highlight w:val="none"/>
          <w:lang w:val="en-US" w:eastAsia="zh-CN"/>
        </w:rPr>
        <w:t>、宣传教育、文创开发</w:t>
      </w:r>
      <w:r>
        <w:rPr>
          <w:rFonts w:eastAsia="仿宋_GB2312"/>
          <w:sz w:val="32"/>
          <w:szCs w:val="32"/>
          <w:highlight w:val="none"/>
          <w:lang w:val="en-US" w:eastAsia="zh-CN"/>
        </w:rPr>
        <w:t>等主责主业，加快盘活存量资金，靶向推进各类专项经费提速执行。建立经费使用动态调剂与精准匹配机制，精准衔接项目实施进度与资金支付节点，有效杜绝资金沉淀、长期挂账等问题。</w:t>
      </w:r>
    </w:p>
    <w:p w14:paraId="11CD0943">
      <w:pPr>
        <w:pStyle w:val="15"/>
        <w:overflowPunct w:val="0"/>
        <w:autoSpaceDE/>
        <w:autoSpaceDN/>
        <w:spacing w:line="600" w:lineRule="exact"/>
        <w:ind w:firstLine="640" w:firstLineChars="200"/>
        <w:jc w:val="both"/>
        <w:rPr>
          <w:rFonts w:eastAsia="仿宋_GB2312" w:asciiTheme="minorHAnsi" w:hAnsiTheme="minorHAnsi" w:cstheme="minorBidi"/>
          <w:color w:val="auto"/>
          <w:kern w:val="2"/>
          <w:sz w:val="32"/>
          <w:szCs w:val="32"/>
          <w:highlight w:val="none"/>
          <w:lang w:val="en-US" w:eastAsia="zh-CN" w:bidi="ar-SA"/>
        </w:rPr>
      </w:pPr>
      <w:r>
        <w:rPr>
          <w:rFonts w:ascii="Times New Roman" w:hAnsi="Times New Roman" w:eastAsia="楷体_GB2312" w:cs="Times New Roman"/>
          <w:b/>
          <w:bCs/>
          <w:color w:val="auto"/>
          <w:kern w:val="2"/>
          <w:sz w:val="32"/>
          <w:szCs w:val="32"/>
          <w:highlight w:val="none"/>
        </w:rPr>
        <w:t>（三）评价结果应用情况。</w:t>
      </w:r>
      <w:r>
        <w:rPr>
          <w:rFonts w:eastAsia="仿宋_GB2312" w:asciiTheme="minorHAnsi" w:hAnsiTheme="minorHAnsi" w:cstheme="minorBidi"/>
          <w:color w:val="auto"/>
          <w:kern w:val="2"/>
          <w:sz w:val="32"/>
          <w:szCs w:val="32"/>
          <w:highlight w:val="none"/>
          <w:lang w:val="en-US" w:eastAsia="zh-CN" w:bidi="ar-SA"/>
        </w:rPr>
        <w:t>本年度，我</w:t>
      </w:r>
      <w:r>
        <w:rPr>
          <w:rFonts w:hint="eastAsia" w:eastAsia="仿宋_GB2312" w:asciiTheme="minorHAnsi" w:cstheme="minorBidi"/>
          <w:color w:val="auto"/>
          <w:kern w:val="2"/>
          <w:sz w:val="32"/>
          <w:szCs w:val="32"/>
          <w:highlight w:val="none"/>
          <w:lang w:val="en-US" w:eastAsia="zh-CN" w:bidi="ar-SA"/>
        </w:rPr>
        <w:t>馆</w:t>
      </w:r>
      <w:r>
        <w:rPr>
          <w:rFonts w:eastAsia="仿宋_GB2312" w:asciiTheme="minorHAnsi" w:hAnsiTheme="minorHAnsi" w:cstheme="minorBidi"/>
          <w:color w:val="auto"/>
          <w:kern w:val="2"/>
          <w:sz w:val="32"/>
          <w:szCs w:val="32"/>
          <w:highlight w:val="none"/>
          <w:lang w:val="en-US" w:eastAsia="zh-CN" w:bidi="ar-SA"/>
        </w:rPr>
        <w:t>基于2025年度绩效自评结果，对整体支出及各项目资金的使用成效进行了系统分析，深入总结预算管理中的有效经验，同时客观检视执行中存在的问题与不足，为下一年度优化预算执行、提升资金使用效益提供了重要参考。在结果应用方面，严格落实绩效与预算安排挂钩机制：对当年执行进度良好、完成质量高、评价结果优秀的项目，在下一年度预算分配中予以适度倾斜；对评价不合格的项目，相应压减或取消预算安排，切实强化绩效导向，推动预算资源配置效率持续提升。</w:t>
      </w:r>
    </w:p>
    <w:p w14:paraId="1F4AD38F">
      <w:pPr>
        <w:pStyle w:val="15"/>
        <w:jc w:val="center"/>
        <w:rPr>
          <w:rFonts w:ascii="Times New Roman" w:hAnsi="Times New Roman" w:cs="Times New Roman"/>
          <w:sz w:val="72"/>
          <w:szCs w:val="72"/>
          <w:highlight w:val="none"/>
        </w:rPr>
      </w:pPr>
    </w:p>
    <w:p w14:paraId="330A8CCE">
      <w:pPr>
        <w:pStyle w:val="15"/>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第四部分    名词解释</w:t>
      </w:r>
    </w:p>
    <w:p w14:paraId="77FC4EF3">
      <w:pPr>
        <w:widowControl/>
        <w:jc w:val="left"/>
        <w:rPr>
          <w:rFonts w:ascii="Times New Roman" w:hAnsi="Times New Roman" w:cs="Times New Roman"/>
          <w:color w:val="000000"/>
          <w:kern w:val="0"/>
          <w:sz w:val="32"/>
          <w:szCs w:val="32"/>
          <w:highlight w:val="none"/>
        </w:rPr>
      </w:pPr>
    </w:p>
    <w:p w14:paraId="187B3BA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eastAsia="仿宋_GB2312" w:asciiTheme="minorHAnsi" w:hAnsiTheme="minorHAnsi" w:cstheme="minorBidi"/>
          <w:color w:val="auto"/>
          <w:kern w:val="2"/>
          <w:sz w:val="32"/>
          <w:szCs w:val="32"/>
          <w:highlight w:val="none"/>
          <w:lang w:val="en-US" w:eastAsia="zh-CN" w:bidi="ar-SA"/>
        </w:rPr>
      </w:pPr>
      <w:r>
        <w:rPr>
          <w:rFonts w:hint="eastAsia" w:eastAsia="仿宋_GB2312" w:asciiTheme="minorHAnsi" w:hAnsiTheme="minorHAnsi" w:cstheme="minorBidi"/>
          <w:color w:val="auto"/>
          <w:kern w:val="2"/>
          <w:sz w:val="32"/>
          <w:szCs w:val="32"/>
          <w:highlight w:val="none"/>
          <w:lang w:val="en-US" w:eastAsia="zh-CN" w:bidi="ar-SA"/>
        </w:rPr>
        <w:t>一、三公经费支出口径</w:t>
      </w:r>
    </w:p>
    <w:p w14:paraId="6CFEB7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eastAsia="仿宋_GB2312" w:asciiTheme="minorHAnsi" w:hAnsiTheme="minorHAnsi" w:cstheme="minorBidi"/>
          <w:color w:val="auto"/>
          <w:kern w:val="2"/>
          <w:sz w:val="32"/>
          <w:szCs w:val="32"/>
          <w:highlight w:val="none"/>
          <w:lang w:val="en-US" w:eastAsia="zh-CN" w:bidi="ar-SA"/>
        </w:rPr>
      </w:pPr>
      <w:r>
        <w:rPr>
          <w:rFonts w:hint="eastAsia" w:eastAsia="仿宋_GB2312" w:asciiTheme="minorHAnsi" w:hAnsiTheme="minorHAnsi" w:cstheme="minorBidi"/>
          <w:color w:val="auto"/>
          <w:kern w:val="2"/>
          <w:sz w:val="32"/>
          <w:szCs w:val="32"/>
          <w:highlight w:val="none"/>
          <w:lang w:val="en-US" w:eastAsia="zh-CN" w:bidi="ar-SA"/>
        </w:rPr>
        <w:t>三公经费是指政府部门人员因公出国（境）费用、公务接待费、公务用车购置和运行维护费。其中，因公出国（境）费反映单位公务出国（境）的国际旅费、国外城市间交通费、食宿费等支出。公务接待费反映单位按规定开支的各类公务接待支出。公务用车购置及运行费反映单位公务用车车辆购置支出（含车辆购置税），以及燃料费、维修费、保险费等支出。三公经费往年为一般公共预算财政拨款口径，今年为财政拨款口径。</w:t>
      </w:r>
    </w:p>
    <w:p w14:paraId="5294427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eastAsia="仿宋_GB2312" w:asciiTheme="minorHAnsi" w:hAnsiTheme="minorHAnsi" w:cstheme="minorBidi"/>
          <w:color w:val="auto"/>
          <w:kern w:val="2"/>
          <w:sz w:val="32"/>
          <w:szCs w:val="32"/>
          <w:highlight w:val="none"/>
          <w:lang w:val="en-US" w:eastAsia="zh-CN" w:bidi="ar-SA"/>
        </w:rPr>
      </w:pPr>
      <w:r>
        <w:rPr>
          <w:rFonts w:hint="eastAsia" w:eastAsia="仿宋_GB2312" w:asciiTheme="minorHAnsi" w:hAnsiTheme="minorHAnsi" w:cstheme="minorBidi"/>
          <w:color w:val="auto"/>
          <w:kern w:val="2"/>
          <w:sz w:val="32"/>
          <w:szCs w:val="32"/>
          <w:highlight w:val="none"/>
          <w:lang w:val="en-US" w:eastAsia="zh-CN" w:bidi="ar-SA"/>
        </w:rPr>
        <w:t>二、机关运行经费支出口径</w:t>
      </w:r>
    </w:p>
    <w:p w14:paraId="27A2DF2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ascii="Times New Roman" w:hAnsi="Times New Roman" w:cs="Times New Roman"/>
          <w:sz w:val="72"/>
          <w:szCs w:val="72"/>
          <w:highlight w:val="none"/>
        </w:rPr>
      </w:pPr>
      <w:r>
        <w:rPr>
          <w:rFonts w:hint="eastAsia" w:eastAsia="仿宋_GB2312" w:asciiTheme="minorHAnsi" w:hAnsiTheme="minorHAnsi" w:cstheme="minorBidi"/>
          <w:color w:val="auto"/>
          <w:kern w:val="2"/>
          <w:sz w:val="32"/>
          <w:szCs w:val="32"/>
          <w:highlight w:val="none"/>
          <w:lang w:val="en-US" w:eastAsia="zh-CN" w:bidi="ar-SA"/>
        </w:rPr>
        <w:t>机关运行经费是指行政单位（含参照公务员法管理事业单位）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14:paraId="725EBEF4">
      <w:pPr>
        <w:pStyle w:val="15"/>
        <w:jc w:val="both"/>
        <w:rPr>
          <w:rFonts w:ascii="Times New Roman" w:hAnsi="Times New Roman" w:cs="Times New Roman"/>
          <w:sz w:val="72"/>
          <w:szCs w:val="72"/>
          <w:highlight w:val="none"/>
        </w:rPr>
      </w:pPr>
    </w:p>
    <w:p w14:paraId="34E91A50">
      <w:pPr>
        <w:pStyle w:val="15"/>
        <w:jc w:val="both"/>
        <w:rPr>
          <w:rFonts w:ascii="Times New Roman" w:hAnsi="Times New Roman" w:cs="Times New Roman"/>
          <w:sz w:val="72"/>
          <w:szCs w:val="72"/>
          <w:highlight w:val="none"/>
        </w:rPr>
      </w:pPr>
    </w:p>
    <w:p w14:paraId="298E43E2">
      <w:pPr>
        <w:pStyle w:val="15"/>
        <w:jc w:val="both"/>
        <w:rPr>
          <w:rFonts w:ascii="Times New Roman" w:hAnsi="Times New Roman" w:cs="Times New Roman"/>
          <w:sz w:val="72"/>
          <w:szCs w:val="72"/>
          <w:highlight w:val="none"/>
        </w:rPr>
      </w:pPr>
    </w:p>
    <w:p w14:paraId="4EAEAF90">
      <w:pPr>
        <w:pStyle w:val="15"/>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第五部分   附 件</w:t>
      </w:r>
    </w:p>
    <w:p w14:paraId="1EEA9887">
      <w:pPr>
        <w:rPr>
          <w:rFonts w:ascii="Times New Roman" w:hAnsi="Times New Roman" w:cs="Times New Roman"/>
          <w:sz w:val="72"/>
          <w:szCs w:val="72"/>
          <w:highlight w:val="none"/>
        </w:rPr>
      </w:pPr>
    </w:p>
    <w:p w14:paraId="7B7371B9">
      <w:pPr>
        <w:pStyle w:val="15"/>
        <w:spacing w:line="60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一、</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年度部门(单位)整体支出绩效自评报告。</w:t>
      </w:r>
    </w:p>
    <w:p w14:paraId="1A1264F8">
      <w:pPr>
        <w:pStyle w:val="15"/>
        <w:spacing w:line="600" w:lineRule="exact"/>
        <w:ind w:firstLine="640" w:firstLineChars="200"/>
        <w:rPr>
          <w:rFonts w:ascii="Times New Roman" w:hAnsi="Times New Roman" w:eastAsia="仿宋_GB2312" w:cs="Times New Roman"/>
          <w:sz w:val="32"/>
          <w:szCs w:val="32"/>
          <w:highlight w:val="none"/>
        </w:rPr>
      </w:pPr>
    </w:p>
    <w:p w14:paraId="345CD662">
      <w:pPr>
        <w:pStyle w:val="15"/>
        <w:jc w:val="center"/>
        <w:rPr>
          <w:rFonts w:ascii="Times New Roman" w:hAnsi="Times New Roman" w:cs="Times New Roman"/>
          <w:sz w:val="72"/>
          <w:szCs w:val="72"/>
          <w:highlight w:val="none"/>
        </w:rPr>
      </w:pPr>
    </w:p>
    <w:p w14:paraId="5569B495">
      <w:pPr>
        <w:pStyle w:val="15"/>
        <w:jc w:val="center"/>
        <w:rPr>
          <w:rFonts w:ascii="Times New Roman" w:hAnsi="Times New Roman" w:cs="Times New Roman"/>
          <w:sz w:val="72"/>
          <w:szCs w:val="72"/>
          <w:highlight w:val="none"/>
        </w:rPr>
      </w:pPr>
    </w:p>
    <w:p w14:paraId="2FFAD82D">
      <w:pPr>
        <w:jc w:val="left"/>
        <w:rPr>
          <w:rFonts w:ascii="Times New Roman" w:hAnsi="Times New Roman" w:cs="Times New Roman"/>
          <w:color w:val="000000"/>
          <w:kern w:val="0"/>
          <w:sz w:val="32"/>
          <w:szCs w:val="32"/>
          <w:highlight w:val="none"/>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FangSong_GB2312">
    <w:altName w:val="仿宋_GB2312"/>
    <w:panose1 w:val="02010609060101010101"/>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9454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5FE6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8E0B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900AB">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ED59B">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6ED59B">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E90CC7"/>
    <w:multiLevelType w:val="singleLevel"/>
    <w:tmpl w:val="62E90CC7"/>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32AF"/>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771BE"/>
    <w:rsid w:val="00E8683C"/>
    <w:rsid w:val="00EA2B72"/>
    <w:rsid w:val="00F74360"/>
    <w:rsid w:val="00FB462F"/>
    <w:rsid w:val="00FE16FA"/>
    <w:rsid w:val="00FE328A"/>
    <w:rsid w:val="00FE6269"/>
    <w:rsid w:val="00FF5CD6"/>
    <w:rsid w:val="01CA720A"/>
    <w:rsid w:val="024E28D6"/>
    <w:rsid w:val="03332560"/>
    <w:rsid w:val="04A60DFC"/>
    <w:rsid w:val="04BE5D2A"/>
    <w:rsid w:val="05F279FC"/>
    <w:rsid w:val="068C3DC8"/>
    <w:rsid w:val="069C49FD"/>
    <w:rsid w:val="07D1067F"/>
    <w:rsid w:val="09067BF4"/>
    <w:rsid w:val="0A974109"/>
    <w:rsid w:val="0B102BA2"/>
    <w:rsid w:val="0CB45B06"/>
    <w:rsid w:val="0CD7592C"/>
    <w:rsid w:val="0E23781C"/>
    <w:rsid w:val="0E2E6EA9"/>
    <w:rsid w:val="0E4B1DFC"/>
    <w:rsid w:val="0F9345AA"/>
    <w:rsid w:val="107A0BC8"/>
    <w:rsid w:val="129432EA"/>
    <w:rsid w:val="13491142"/>
    <w:rsid w:val="14F80B71"/>
    <w:rsid w:val="15AD6728"/>
    <w:rsid w:val="169C5018"/>
    <w:rsid w:val="17C4348D"/>
    <w:rsid w:val="1A0155E6"/>
    <w:rsid w:val="1A16539E"/>
    <w:rsid w:val="1A2B1857"/>
    <w:rsid w:val="1B3B0A9B"/>
    <w:rsid w:val="1C422EA7"/>
    <w:rsid w:val="1C9444C1"/>
    <w:rsid w:val="1D97DEFF"/>
    <w:rsid w:val="1DFF72E5"/>
    <w:rsid w:val="1EFC6F07"/>
    <w:rsid w:val="1F0A002E"/>
    <w:rsid w:val="1FBC47EF"/>
    <w:rsid w:val="22317F54"/>
    <w:rsid w:val="239E5F03"/>
    <w:rsid w:val="24E92371"/>
    <w:rsid w:val="259F48D4"/>
    <w:rsid w:val="28351DC9"/>
    <w:rsid w:val="2921312B"/>
    <w:rsid w:val="2971344F"/>
    <w:rsid w:val="2B3302E4"/>
    <w:rsid w:val="2C431610"/>
    <w:rsid w:val="2DF77535"/>
    <w:rsid w:val="2EBA3D87"/>
    <w:rsid w:val="2FDF85B8"/>
    <w:rsid w:val="2FF3749E"/>
    <w:rsid w:val="2FFFEE04"/>
    <w:rsid w:val="300E190C"/>
    <w:rsid w:val="31D9148B"/>
    <w:rsid w:val="326D1DE8"/>
    <w:rsid w:val="33DF2E65"/>
    <w:rsid w:val="34840B86"/>
    <w:rsid w:val="34DF85B0"/>
    <w:rsid w:val="36AA39B8"/>
    <w:rsid w:val="37FD4A24"/>
    <w:rsid w:val="39101871"/>
    <w:rsid w:val="39417249"/>
    <w:rsid w:val="39A14F85"/>
    <w:rsid w:val="3B782D9E"/>
    <w:rsid w:val="3B8F36BC"/>
    <w:rsid w:val="3BA31083"/>
    <w:rsid w:val="3BF84B53"/>
    <w:rsid w:val="410759FC"/>
    <w:rsid w:val="42DB40DC"/>
    <w:rsid w:val="43061C36"/>
    <w:rsid w:val="4453331F"/>
    <w:rsid w:val="45D10B31"/>
    <w:rsid w:val="47E51A1D"/>
    <w:rsid w:val="486F23A9"/>
    <w:rsid w:val="491FF225"/>
    <w:rsid w:val="492C30FE"/>
    <w:rsid w:val="49320A47"/>
    <w:rsid w:val="4A1B668D"/>
    <w:rsid w:val="4B3A18E6"/>
    <w:rsid w:val="4C64034E"/>
    <w:rsid w:val="4CAD2D7C"/>
    <w:rsid w:val="4CE916F9"/>
    <w:rsid w:val="4D16313C"/>
    <w:rsid w:val="4F0D34E4"/>
    <w:rsid w:val="4F361518"/>
    <w:rsid w:val="4FFD214C"/>
    <w:rsid w:val="512C3F1E"/>
    <w:rsid w:val="54C40E2E"/>
    <w:rsid w:val="56FC15F5"/>
    <w:rsid w:val="5777D4F5"/>
    <w:rsid w:val="59CE7D0B"/>
    <w:rsid w:val="59DD8326"/>
    <w:rsid w:val="5A46531B"/>
    <w:rsid w:val="5B342E5F"/>
    <w:rsid w:val="5B6A54C4"/>
    <w:rsid w:val="5DD300E3"/>
    <w:rsid w:val="5DEF592A"/>
    <w:rsid w:val="5FC6BB1E"/>
    <w:rsid w:val="5FF720F1"/>
    <w:rsid w:val="5FF808E1"/>
    <w:rsid w:val="60280A78"/>
    <w:rsid w:val="61E51D1E"/>
    <w:rsid w:val="624327CD"/>
    <w:rsid w:val="655A1441"/>
    <w:rsid w:val="66D60CC8"/>
    <w:rsid w:val="67E3009D"/>
    <w:rsid w:val="67FF5C0B"/>
    <w:rsid w:val="69FB10EF"/>
    <w:rsid w:val="6D345A45"/>
    <w:rsid w:val="6E3B00E8"/>
    <w:rsid w:val="6EFC0924"/>
    <w:rsid w:val="6FB74722"/>
    <w:rsid w:val="6FEF8B7E"/>
    <w:rsid w:val="7083076F"/>
    <w:rsid w:val="71A6591B"/>
    <w:rsid w:val="72962E4D"/>
    <w:rsid w:val="7341739F"/>
    <w:rsid w:val="737D59BA"/>
    <w:rsid w:val="73896C46"/>
    <w:rsid w:val="74B91A57"/>
    <w:rsid w:val="74D64E66"/>
    <w:rsid w:val="759B2C78"/>
    <w:rsid w:val="77BD7C02"/>
    <w:rsid w:val="77C37683"/>
    <w:rsid w:val="78266465"/>
    <w:rsid w:val="79D19834"/>
    <w:rsid w:val="79FF515B"/>
    <w:rsid w:val="7ADA7227"/>
    <w:rsid w:val="7B2A7B4E"/>
    <w:rsid w:val="7BF549BF"/>
    <w:rsid w:val="7C8E750C"/>
    <w:rsid w:val="7D0F0182"/>
    <w:rsid w:val="7D43698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CBE750"/>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qFormat/>
    <w:uiPriority w:val="0"/>
    <w:rPr>
      <w:rFonts w:ascii="Arial" w:hAnsi="Arial" w:eastAsia="Arial" w:cs="Arial"/>
      <w:szCs w:val="21"/>
      <w:lang w:eastAsia="en-US"/>
    </w:rPr>
  </w:style>
  <w:style w:type="paragraph" w:styleId="3">
    <w:name w:val="toc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912</Words>
  <Characters>936</Characters>
  <Lines>69</Lines>
  <Paragraphs>19</Paragraphs>
  <TotalTime>40</TotalTime>
  <ScaleCrop>false</ScaleCrop>
  <LinksUpToDate>false</LinksUpToDate>
  <CharactersWithSpaces>1072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金凤 </cp:lastModifiedBy>
  <cp:lastPrinted>2026-08-05T17:01:00Z</cp:lastPrinted>
  <dcterms:modified xsi:type="dcterms:W3CDTF">2026-09-11T07:32:05Z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eyJoZGlkIjoiNzg5MWM2MGI0YmViYTdjOTQ5ODRjNTVjNDBkNTdkYWMiLCJ1c2VySWQiOiI1NTY4NzczNTQifQ==</vt:lpwstr>
  </property>
</Properties>
</file>